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961"/>
        <w:gridCol w:w="4508"/>
        <w:tblGridChange w:id="0">
          <w:tblGrid>
            <w:gridCol w:w="2547"/>
            <w:gridCol w:w="1961"/>
            <w:gridCol w:w="4508"/>
          </w:tblGrid>
        </w:tblGridChange>
      </w:tblGrid>
      <w:tr>
        <w:trPr>
          <w:cantSplit w:val="0"/>
          <w:tblHeader w:val="0"/>
        </w:trPr>
        <w:tc>
          <w:tcPr>
            <w:gridSpan w:val="3"/>
            <w:shd w:fill="e2efd9" w:val="clear"/>
          </w:tcPr>
          <w:p w:rsidR="00000000" w:rsidDel="00000000" w:rsidP="00000000" w:rsidRDefault="00000000" w:rsidRPr="00000000" w14:paraId="00000002">
            <w:pPr>
              <w:spacing w:after="120" w:before="120" w:lineRule="auto"/>
              <w:jc w:val="center"/>
              <w:rPr>
                <w:b w:val="1"/>
              </w:rPr>
            </w:pPr>
            <w:r w:rsidDel="00000000" w:rsidR="00000000" w:rsidRPr="00000000">
              <w:rPr>
                <w:b w:val="1"/>
                <w:rtl w:val="0"/>
              </w:rPr>
              <w:t xml:space="preserve">INFO SCOUTING</w:t>
            </w:r>
          </w:p>
        </w:tc>
      </w:tr>
      <w:tr>
        <w:trPr>
          <w:cantSplit w:val="0"/>
          <w:tblHeader w:val="0"/>
        </w:trPr>
        <w:tc>
          <w:tcPr>
            <w:shd w:fill="f2f2f2" w:val="clear"/>
          </w:tcPr>
          <w:p w:rsidR="00000000" w:rsidDel="00000000" w:rsidP="00000000" w:rsidRDefault="00000000" w:rsidRPr="00000000" w14:paraId="00000005">
            <w:pPr>
              <w:spacing w:after="240" w:lineRule="auto"/>
              <w:rPr>
                <w:b w:val="1"/>
              </w:rPr>
            </w:pPr>
            <w:r w:rsidDel="00000000" w:rsidR="00000000" w:rsidRPr="00000000">
              <w:rPr>
                <w:b w:val="1"/>
                <w:rtl w:val="0"/>
              </w:rPr>
              <w:t xml:space="preserve">Periodo di scouting:</w:t>
            </w:r>
          </w:p>
        </w:tc>
        <w:tc>
          <w:tcPr>
            <w:gridSpan w:val="2"/>
          </w:tcPr>
          <w:p w:rsidR="00000000" w:rsidDel="00000000" w:rsidP="00000000" w:rsidRDefault="00000000" w:rsidRPr="00000000" w14:paraId="00000006">
            <w:pPr>
              <w:spacing w:after="240" w:lineRule="auto"/>
              <w:rPr>
                <w:b w:val="1"/>
              </w:rPr>
            </w:pPr>
            <w:r w:rsidDel="00000000" w:rsidR="00000000" w:rsidRPr="00000000">
              <w:rPr>
                <w:color w:val="212529"/>
                <w:highlight w:val="white"/>
                <w:rtl w:val="0"/>
              </w:rPr>
              <w:t xml:space="preserve">17/06/2025</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8">
            <w:pPr>
              <w:spacing w:after="240" w:lineRule="auto"/>
              <w:rPr>
                <w:b w:val="1"/>
              </w:rPr>
            </w:pPr>
            <w:r w:rsidDel="00000000" w:rsidR="00000000" w:rsidRPr="00000000">
              <w:rPr>
                <w:b w:val="1"/>
                <w:rtl w:val="0"/>
              </w:rPr>
              <w:t xml:space="preserve">Fonte:</w:t>
            </w:r>
          </w:p>
        </w:tc>
        <w:tc>
          <w:tcPr>
            <w:gridSpan w:val="2"/>
          </w:tcPr>
          <w:p w:rsidR="00000000" w:rsidDel="00000000" w:rsidP="00000000" w:rsidRDefault="00000000" w:rsidRPr="00000000" w14:paraId="00000009">
            <w:pPr>
              <w:spacing w:after="240" w:lineRule="auto"/>
              <w:rPr/>
            </w:pPr>
            <w:hyperlink r:id="rId7">
              <w:r w:rsidDel="00000000" w:rsidR="00000000" w:rsidRPr="00000000">
                <w:rPr>
                  <w:color w:val="1155cc"/>
                  <w:u w:val="single"/>
                  <w:rtl w:val="0"/>
                </w:rPr>
                <w:t xml:space="preserve">https://ec.europa.eu/info/funding-tenders/opportunities/portal/screen/opportunities/topic-details/AMIF-2025-TF2-AG-INTE-01-WOMEN?isExactMatch=true&amp;status=31094501,31094502,31094503&amp;callIdentifier=AMIF-2025-TF2-AG-INTE&amp;order=DESC&amp;pageNumber=1&amp;pageSize=50&amp;sortBy=startDate</w:t>
              </w:r>
            </w:hyperlink>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00B">
            <w:pPr>
              <w:spacing w:after="120" w:before="120" w:lineRule="auto"/>
              <w:jc w:val="center"/>
              <w:rPr>
                <w:b w:val="1"/>
              </w:rPr>
            </w:pPr>
            <w:r w:rsidDel="00000000" w:rsidR="00000000" w:rsidRPr="00000000">
              <w:rPr>
                <w:b w:val="1"/>
                <w:rtl w:val="0"/>
              </w:rPr>
              <w:t xml:space="preserve">DESCRIZIONE BANDO</w:t>
            </w:r>
          </w:p>
        </w:tc>
      </w:tr>
      <w:tr>
        <w:trPr>
          <w:cantSplit w:val="0"/>
          <w:tblHeader w:val="0"/>
        </w:trPr>
        <w:tc>
          <w:tcPr>
            <w:shd w:fill="f2f2f2" w:val="clear"/>
          </w:tcPr>
          <w:p w:rsidR="00000000" w:rsidDel="00000000" w:rsidP="00000000" w:rsidRDefault="00000000" w:rsidRPr="00000000" w14:paraId="0000000E">
            <w:pPr>
              <w:spacing w:after="240" w:lineRule="auto"/>
              <w:rPr>
                <w:b w:val="1"/>
              </w:rPr>
            </w:pPr>
            <w:r w:rsidDel="00000000" w:rsidR="00000000" w:rsidRPr="00000000">
              <w:rPr>
                <w:b w:val="1"/>
                <w:rtl w:val="0"/>
              </w:rPr>
              <w:t xml:space="preserve">Ente proponente:</w:t>
            </w:r>
          </w:p>
        </w:tc>
        <w:tc>
          <w:tcPr>
            <w:gridSpan w:val="2"/>
          </w:tcPr>
          <w:p w:rsidR="00000000" w:rsidDel="00000000" w:rsidP="00000000" w:rsidRDefault="00000000" w:rsidRPr="00000000" w14:paraId="0000000F">
            <w:pPr>
              <w:spacing w:after="240" w:lineRule="auto"/>
              <w:rPr/>
            </w:pPr>
            <w:r w:rsidDel="00000000" w:rsidR="00000000" w:rsidRPr="00000000">
              <w:rPr>
                <w:highlight w:val="white"/>
                <w:rtl w:val="0"/>
              </w:rPr>
              <w:t xml:space="preserve">Commissione Europea</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1">
            <w:pPr>
              <w:spacing w:after="240" w:lineRule="auto"/>
              <w:rPr>
                <w:b w:val="1"/>
              </w:rPr>
            </w:pPr>
            <w:r w:rsidDel="00000000" w:rsidR="00000000" w:rsidRPr="00000000">
              <w:rPr>
                <w:b w:val="1"/>
                <w:rtl w:val="0"/>
              </w:rPr>
              <w:t xml:space="preserve">Tipologia di bando:</w:t>
            </w:r>
          </w:p>
        </w:tc>
        <w:tc>
          <w:tcPr>
            <w:gridSpan w:val="2"/>
          </w:tcPr>
          <w:p w:rsidR="00000000" w:rsidDel="00000000" w:rsidP="00000000" w:rsidRDefault="00000000" w:rsidRPr="00000000" w14:paraId="00000012">
            <w:pPr>
              <w:spacing w:after="240" w:lineRule="auto"/>
              <w:rPr/>
            </w:pPr>
            <w:r w:rsidDel="00000000" w:rsidR="00000000" w:rsidRPr="00000000">
              <w:rPr>
                <w:highlight w:val="white"/>
                <w:rtl w:val="0"/>
              </w:rPr>
              <w:t xml:space="preserve">AMIF 2027</w:t>
            </w:r>
            <w:r w:rsidDel="00000000" w:rsidR="00000000" w:rsidRPr="00000000">
              <w:rPr>
                <w:rtl w:val="0"/>
              </w:rPr>
            </w:r>
          </w:p>
        </w:tc>
      </w:tr>
      <w:tr>
        <w:trPr>
          <w:cantSplit w:val="0"/>
          <w:trHeight w:val="139" w:hRule="atLeast"/>
          <w:tblHeader w:val="0"/>
        </w:trPr>
        <w:tc>
          <w:tcPr>
            <w:gridSpan w:val="3"/>
          </w:tcPr>
          <w:p w:rsidR="00000000" w:rsidDel="00000000" w:rsidP="00000000" w:rsidRDefault="00000000" w:rsidRPr="00000000" w14:paraId="00000014">
            <w:pPr>
              <w:rPr>
                <w:b w:val="1"/>
                <w:sz w:val="18"/>
                <w:szCs w:val="1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7">
            <w:pPr>
              <w:spacing w:after="240" w:lineRule="auto"/>
              <w:rPr>
                <w:b w:val="1"/>
              </w:rPr>
            </w:pPr>
            <w:r w:rsidDel="00000000" w:rsidR="00000000" w:rsidRPr="00000000">
              <w:rPr>
                <w:b w:val="1"/>
                <w:rtl w:val="0"/>
              </w:rPr>
              <w:t xml:space="preserve">Bando/call:</w:t>
            </w:r>
          </w:p>
        </w:tc>
        <w:tc>
          <w:tcPr>
            <w:gridSpan w:val="2"/>
          </w:tcPr>
          <w:p w:rsidR="00000000" w:rsidDel="00000000" w:rsidP="00000000" w:rsidRDefault="00000000" w:rsidRPr="00000000" w14:paraId="00000018">
            <w:pPr>
              <w:pBdr>
                <w:top w:color="000000" w:space="0" w:sz="0" w:val="none"/>
                <w:left w:color="000000" w:space="0" w:sz="0" w:val="none"/>
                <w:bottom w:space="0" w:sz="0" w:val="nil"/>
                <w:right w:color="000000" w:space="0" w:sz="0" w:val="none"/>
                <w:between w:space="0" w:sz="0" w:val="nil"/>
              </w:pBdr>
              <w:shd w:fill="ffffff" w:val="clear"/>
              <w:spacing w:after="240" w:lineRule="auto"/>
              <w:ind w:left="-20" w:firstLine="0"/>
              <w:rPr>
                <w:color w:val="000000"/>
              </w:rPr>
            </w:pPr>
            <w:hyperlink r:id="rId8">
              <w:r w:rsidDel="00000000" w:rsidR="00000000" w:rsidRPr="00000000">
                <w:rPr>
                  <w:color w:val="1155cc"/>
                  <w:u w:val="single"/>
                  <w:rtl w:val="0"/>
                </w:rPr>
                <w:t xml:space="preserve">Call for proposal Transnational Actions on Asylum, Migration and Integration 2025</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A">
            <w:pPr>
              <w:spacing w:after="240" w:lineRule="auto"/>
              <w:rPr>
                <w:b w:val="1"/>
              </w:rPr>
            </w:pPr>
            <w:r w:rsidDel="00000000" w:rsidR="00000000" w:rsidRPr="00000000">
              <w:rPr>
                <w:b w:val="1"/>
                <w:rtl w:val="0"/>
              </w:rPr>
              <w:t xml:space="preserve">Tema/obiettivo del bando:</w:t>
            </w:r>
          </w:p>
        </w:tc>
        <w:tc>
          <w:tcPr>
            <w:gridSpan w:val="2"/>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Garantire l'integrazione e l'inclusione efficaci dei cittadini di paesi terzi è un investimento cruciale per il futuro sociale ed economico dell'Unione europea. Svolge un ruolo fondamentale nel rafforzare la coesione e la resilienza delle nostre società e nel promuovere un senso di unità. Creando comunità più inclusive, l'UE diventa più attrezzata per affrontare le sfide globali, promuovendo l'innovazione e rafforzando un vantaggio competitivo sulla scena internazionale. Integrazione e inclusione sono vantaggiose non solo per i singoli individui, ma anche per la società nel suo complesso, migliorando la prosperità complessiva e la futura competitività dell'Unione europea.</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Questo è un invito a presentare proposte per sovvenzioni d'azione dell'UE nel campo della migrazione e dell'integrazione nell'ambito “Asylum, Migration and Integration Fund (AMIF)”</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è pubblicato in conformità con il AMIF 2023-2025 Thematic Facility Work Programme e sarà gestito dalla Commissione europea, Direzione generale per la migrazione e gli affari interni (DG HOME).</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copre i seguenti temi: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AMIF-2025-TF2-AG-INTE-01-DONNE - Misure di sostegno per l'integrazione sociale ed economica delle donne migranti:</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pubblicato nell’ambito del Programma AMIF (Asylum, Migration and Integration Fund) ha come obiettivo principale la promozione dell’integrazione socio-economica delle donne migranti provenienti da Paesi terzi. La Commissione europea riconosce che queste donne affrontano ostacoli doppi rispetto ad altri gruppi, in quanto si trovano all’incrocio tra discriminazioni legate al genere e alla condizione di migrante.</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L’iniziativa intende affrontare tali barriere, favorendo l’accesso al lavoro, l’autonomia e la partecipazione attiva alla vita sociale. In particolare, il bando incoraggia lo sviluppo di misure mirate per donne vulnerabili, come quelle con basso livello di istruzione, con vissuti traumatici o con una distanza significativa dal mercato del lavoro.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Viene inoltre valorizzato un approccio olistico e familiare, che tenga conto dell’intero nucleo familiare nelle politiche e nei servizi di integrazione, così come il coinvolgimento diretto delle donne migranti nella progettazione e nell’implementazione delle attività.</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Le azioni finanziabili possono includere: corsi di formazione linguistica e professionale, programmi di mentoring, attività di sensibilizzazione sui diritti e la cittadinanza, iniziative per la partecipazione civica e momenti di scambio di buone pratiche tra organizzazioni.</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Il bando si inserisce nel contesto più ampio del Piano d’Azione per l’Integrazione e l’Inclusione 2021–2027, con l’obiettivo di costruire società più coese, inclusive e resilienti in tutta l’Unione Europea.</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AMIF-2025-TF2-AG-INTE-02-SALUTE - Accesso all'assistenza sanitaria</w:t>
            </w:r>
            <w:r w:rsidDel="00000000" w:rsidR="00000000" w:rsidRPr="00000000">
              <w:rPr>
                <w:highlight w:val="white"/>
                <w:rtl w:val="0"/>
              </w:rPr>
              <w:t xml:space="preserve"> </w:t>
            </w:r>
            <w:r w:rsidDel="00000000" w:rsidR="00000000" w:rsidRPr="00000000">
              <w:rPr>
                <w:b w:val="1"/>
                <w:highlight w:val="white"/>
                <w:rtl w:val="0"/>
              </w:rPr>
              <w:t xml:space="preserv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promosso nell’ambito del Programma AMIF si focalizza sul miglioramento dell’accesso ai servizi sanitari per le persone migranti, con un’attenzione particolare ai gruppi più vulnerabili, come donne, minori non accompagnati, anziani e migranti con esigenze sanitarie specifiche.</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Nonostante gli sforzi già messi in campo dagli Stati membri, i migranti si trovano ancora di fronte a numerosi ostacoli, tra cui difficoltà burocratiche, barriere linguistiche e culturali, mancanza di informazioni chiare e isolamento sociale.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mira a finanziare progetti che aiutino concretamente i migranti a conoscere e utilizzare meglio i servizi sanitari disponibili, rafforzando l’informazione, la consapevolezza e l’empowerment. Le attività possono includere campagne di informazione, corsi di formazione per operatori sanitari, programmi di mediazione interculturale, mentoring, supporto psicologico e azioni specifiche dedicate alla salute mentale, sessuale e riproduttiva.</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Grande importanza è data anche al coinvolgimento delle comunità migranti e alla collaborazione tra enti locali, autorità sanitarie, organizzazioni non governative e gruppi guidati da migranti, per costruire interventi integrati e territorialmente radicati.</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Infine, il bando promuove la condivisione dei risultati e delle buone pratiche, incoraggiando la cooperazione tra pubblico e privato su scala locale, regionale e nazionale, con l’obiettivo ultimo di ridurre le disuguaglianze sanitarie e favorire una reale inclusione dei migranti nei sistemi di welfare europei.</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AMIF-2025-TF2-AG-INTE-03-DIGITALE - Migliorare le competenze digitali tra i migranti:</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Questo bando, promosso nell’ambito del Programma AMIF, si concentra sulla promozione dell’inclusione sociale ed economica dei migranti attraverso il potenziamento delle loro competenze digitali. In un contesto in cui la digitalizzazione pervade sempre più la vita quotidiana e l’accesso ai servizi pubblici avviene spesso online, saper usare la tecnologia è diventato fondamentale. Tuttavia, molti migranti si trovano in difficoltà a causa di barriere linguistiche, scarsa alfabetizzazione digitale, mancanza di dispositivi e accesso limitato a internet.</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intende sostenere progetti che aiutino i migranti a sviluppare sia competenze digitali di base come l’utilizzo di siti web per la sanità, l’istruzione o i servizi pubblici sia competenze professionali in ambito digitale, utili per migliorare l’occupabilità e l’inserimento nel mondo del lavoro.</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Un’attenzione particolare è riservata a gruppi particolarmente vulnerabili, tra cui donne migranti, anziani, persone con disabilità o analfabeti, per i quali sono richiesti interventi su misura. Le attività progettuali potranno includere formazioni personalizzate, mentoring, sviluppo di materiali didattici, utilizzo di strumenti innovativi e campagne informative.</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incoraggia inoltre il coinvolgimento diretto dei migranti nella progettazione e realizzazione delle attività, valorizzando il loro punto di vista, e promuove reti di collaborazione tra enti pubblici, organismi di formazione, organizzazioni del terzo settore, gruppi guidati da migranti e professionisti del digitale.</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AMIF-2025-TF2-AG-INTE-04-PERCORSI - Percorsi complementari legati all'istruzione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Questo bando, pubblicato nell’ambito del Programma AMIF, mira a rafforzare e rendere più sostenibili i canali legali di ingresso in Europa per motivi educativi, destinati a persone in cerca di protezione internazionale. L’obiettivo principale è favorire l’accesso all’istruzione superiore e alla formazione professionale come strumenti concreti di integrazione e inclusione per rifugiati e richiedenti asilo residenti in Paesi terzi.</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 progetti finanziati dovranno facilitare l’ammissione di questi studenti in università e istituti di formazione europei, preferibilmente in ambiti che rispondano ai bisogni del mercato del lavoro dell’Unione. Oltre alla selezione e all’iscrizione, sarà fondamentale garantire un accompagnamento continuo, con azioni di supporto accademico, linguistico, psicologico e professionale lungo tutto il percorso di studi.</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Il bando incoraggia la collaborazione tra attori diversi, tra cui università, enti locali, organizzazioni della società civile e, in particolare, organizzazioni guidate da migranti. Un elemento chiave è il coinvolgimento delle autorità nazionali competenti per l’immigrazione e l’istruzione, per assicurare che i percorsi educativi siano riconosciuti e integrati nei sistemi esistenti.</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Infine, le proposte progettuali dovranno puntare a costruire modelli replicabili e duraturi, rafforzando le strutture di ammissione e valorizzando il contributo di finanziamenti sia europei che nazionali. In sintesi, il bando intende creare opportunità concrete di studio e futuro in Europa per persone in cerca di protezione, contribuendo alla costruzione di una società più accogliente e competente.</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AMIF-2025-TF2-AG-INTE-05-BAMBINI - Misure a sostegno degli Stati membri nel campo della protezione dei minori migranti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Questo bando, lanciato nell’ambito del Programma AMIF, si propone di rafforzare la protezione dei minori migranti, in particolare di quelli non accompagnati o separati dalle famiglie, sostenendo gli Stati membri nell’adeguamento alle nuove norme previste dal Patto UE su migrazione e asilo. Il riferimento principale è al nuovo Regolamento sulle procedure d’asilo (2024/1348), che introduce standard comuni per la valutazione dell’età dei minori.</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L’obiettivo dell’iniziativa è migliorare le capacità operative e metodologiche delle autorità pubbliche nazionali, regionali e locali nel riconoscere tempestivamente i minori, fornire loro un'accoglienza adeguata e prevenire situazioni di detenzione, tratta, sfruttamento o esclusione.</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I progetti dovranno sostenere lo sviluppo e la diffusione di buone pratiche e strumenti efficaci per applicare un approccio multidisciplinare alla valutazione dell’età, che tenga conto di elementi fisici, psicologici, culturali e sociali, evitando il ricorso a metodi invasivi, come gli esami medici, se non in casi estremi.</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highlight w:val="white"/>
              </w:rPr>
            </w:pPr>
            <w:r w:rsidDel="00000000" w:rsidR="00000000" w:rsidRPr="00000000">
              <w:rPr>
                <w:highlight w:val="white"/>
                <w:rtl w:val="0"/>
              </w:rPr>
              <w:t xml:space="preserve">Le attività finanziabili includono:</w:t>
            </w:r>
          </w:p>
          <w:p w:rsidR="00000000" w:rsidDel="00000000" w:rsidP="00000000" w:rsidRDefault="00000000" w:rsidRPr="00000000" w14:paraId="0000003A">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Rule="auto"/>
              <w:ind w:left="720" w:hanging="360"/>
              <w:rPr>
                <w:highlight w:val="white"/>
              </w:rPr>
            </w:pPr>
            <w:r w:rsidDel="00000000" w:rsidR="00000000" w:rsidRPr="00000000">
              <w:rPr>
                <w:highlight w:val="white"/>
                <w:rtl w:val="0"/>
              </w:rPr>
              <w:t xml:space="preserve">Formazione degli operatori coinvolti nel processo</w:t>
              <w:br w:type="textWrapping"/>
            </w:r>
          </w:p>
          <w:p w:rsidR="00000000" w:rsidDel="00000000" w:rsidP="00000000" w:rsidRDefault="00000000" w:rsidRPr="00000000" w14:paraId="0000003B">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rPr>
                <w:highlight w:val="white"/>
              </w:rPr>
            </w:pPr>
            <w:r w:rsidDel="00000000" w:rsidR="00000000" w:rsidRPr="00000000">
              <w:rPr>
                <w:highlight w:val="white"/>
                <w:rtl w:val="0"/>
              </w:rPr>
              <w:t xml:space="preserve">Scambio di esperienze tra Stati membri</w:t>
              <w:br w:type="textWrapping"/>
            </w:r>
          </w:p>
          <w:p w:rsidR="00000000" w:rsidDel="00000000" w:rsidP="00000000" w:rsidRDefault="00000000" w:rsidRPr="00000000" w14:paraId="0000003C">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rPr>
                <w:highlight w:val="white"/>
              </w:rPr>
            </w:pPr>
            <w:r w:rsidDel="00000000" w:rsidR="00000000" w:rsidRPr="00000000">
              <w:rPr>
                <w:highlight w:val="white"/>
                <w:rtl w:val="0"/>
              </w:rPr>
              <w:t xml:space="preserve">Sviluppo di protocolli e strumenti comuni</w:t>
              <w:br w:type="textWrapping"/>
            </w:r>
          </w:p>
          <w:p w:rsidR="00000000" w:rsidDel="00000000" w:rsidP="00000000" w:rsidRDefault="00000000" w:rsidRPr="00000000" w14:paraId="0000003D">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rPr>
                <w:highlight w:val="white"/>
              </w:rPr>
            </w:pPr>
            <w:r w:rsidDel="00000000" w:rsidR="00000000" w:rsidRPr="00000000">
              <w:rPr>
                <w:highlight w:val="white"/>
                <w:rtl w:val="0"/>
              </w:rPr>
              <w:t xml:space="preserve">Sperimentazione di modelli innovativi</w:t>
              <w:br w:type="textWrapping"/>
            </w:r>
          </w:p>
          <w:p w:rsidR="00000000" w:rsidDel="00000000" w:rsidP="00000000" w:rsidRDefault="00000000" w:rsidRPr="00000000" w14:paraId="0000003E">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Rule="auto"/>
              <w:ind w:left="720" w:hanging="360"/>
              <w:rPr>
                <w:highlight w:val="white"/>
              </w:rPr>
            </w:pPr>
            <w:r w:rsidDel="00000000" w:rsidR="00000000" w:rsidRPr="00000000">
              <w:rPr>
                <w:highlight w:val="white"/>
                <w:rtl w:val="0"/>
              </w:rPr>
              <w:t xml:space="preserve">Promozione della cooperazione tra autorità, servizi di tutela, ONG, organizzazioni internazionali e centri di accoglienza</w:t>
              <w:br w:type="textWrapping"/>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b w:val="1"/>
                <w:highlight w:val="white"/>
              </w:rPr>
            </w:pPr>
            <w:r w:rsidDel="00000000" w:rsidR="00000000" w:rsidRPr="00000000">
              <w:rPr>
                <w:highlight w:val="white"/>
                <w:rtl w:val="0"/>
              </w:rPr>
              <w:t xml:space="preserve">Il bando sottolinea l’importanza della coerenza con le linee guida dell’Agenzia dell’UE per </w:t>
            </w:r>
            <w:r w:rsidDel="00000000" w:rsidR="00000000" w:rsidRPr="00000000">
              <w:rPr>
                <w:highlight w:val="white"/>
                <w:rtl w:val="0"/>
              </w:rPr>
              <w:t xml:space="preserve">l’Asilo</w:t>
            </w:r>
            <w:r w:rsidDel="00000000" w:rsidR="00000000" w:rsidRPr="00000000">
              <w:rPr>
                <w:highlight w:val="white"/>
                <w:rtl w:val="0"/>
              </w:rPr>
              <w:t xml:space="preserve"> (EUAA) e del pieno rispetto dei diritti dei minori. È inoltre essenziale garantire la presenza di professionisti qualificati nei team che gestiscono le procedure di valutazione</w:t>
            </w:r>
            <w:r w:rsidDel="00000000" w:rsidR="00000000" w:rsidRPr="00000000">
              <w:rPr>
                <w:b w:val="1"/>
                <w:highlight w:val="white"/>
                <w:rtl w:val="0"/>
              </w:rPr>
              <w:t xml:space="preserve">.</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1">
            <w:pPr>
              <w:spacing w:after="240" w:lineRule="auto"/>
              <w:rPr>
                <w:b w:val="1"/>
              </w:rPr>
            </w:pPr>
            <w:r w:rsidDel="00000000" w:rsidR="00000000" w:rsidRPr="00000000">
              <w:rPr>
                <w:b w:val="1"/>
                <w:rtl w:val="0"/>
              </w:rPr>
              <w:t xml:space="preserve">Requisiti: </w:t>
            </w:r>
          </w:p>
        </w:tc>
        <w:tc>
          <w:tcPr>
            <w:gridSpan w:val="2"/>
          </w:tcPr>
          <w:p w:rsidR="00000000" w:rsidDel="00000000" w:rsidP="00000000" w:rsidRDefault="00000000" w:rsidRPr="00000000" w14:paraId="00000042">
            <w:pPr>
              <w:numPr>
                <w:ilvl w:val="0"/>
                <w:numId w:val="2"/>
              </w:numPr>
              <w:spacing w:after="0" w:afterAutospacing="0" w:lineRule="auto"/>
              <w:ind w:left="720" w:hanging="360"/>
              <w:jc w:val="both"/>
              <w:rPr>
                <w:u w:val="none"/>
              </w:rPr>
            </w:pPr>
            <w:r w:rsidDel="00000000" w:rsidR="00000000" w:rsidRPr="00000000">
              <w:rPr>
                <w:rtl w:val="0"/>
              </w:rPr>
              <w:t xml:space="preserve">Per essere ammissibili, i richiedenti (beneficiari ed entità affiliate) devono:</w:t>
            </w:r>
          </w:p>
          <w:p w:rsidR="00000000" w:rsidDel="00000000" w:rsidP="00000000" w:rsidRDefault="00000000" w:rsidRPr="00000000" w14:paraId="00000043">
            <w:pPr>
              <w:numPr>
                <w:ilvl w:val="1"/>
                <w:numId w:val="2"/>
              </w:numPr>
              <w:spacing w:after="0" w:afterAutospacing="0" w:lineRule="auto"/>
              <w:ind w:left="1440" w:hanging="360"/>
              <w:jc w:val="both"/>
              <w:rPr>
                <w:u w:val="none"/>
              </w:rPr>
            </w:pPr>
            <w:r w:rsidDel="00000000" w:rsidR="00000000" w:rsidRPr="00000000">
              <w:rPr>
                <w:rtl w:val="0"/>
              </w:rPr>
              <w:t xml:space="preserve">essere persone giuridiche;</w:t>
            </w:r>
          </w:p>
          <w:p w:rsidR="00000000" w:rsidDel="00000000" w:rsidP="00000000" w:rsidRDefault="00000000" w:rsidRPr="00000000" w14:paraId="00000044">
            <w:pPr>
              <w:numPr>
                <w:ilvl w:val="1"/>
                <w:numId w:val="2"/>
              </w:numPr>
              <w:spacing w:after="0" w:afterAutospacing="0" w:lineRule="auto"/>
              <w:ind w:left="1440" w:hanging="360"/>
              <w:jc w:val="both"/>
              <w:rPr>
                <w:u w:val="none"/>
              </w:rPr>
            </w:pPr>
            <w:r w:rsidDel="00000000" w:rsidR="00000000" w:rsidRPr="00000000">
              <w:rPr>
                <w:rtl w:val="0"/>
              </w:rPr>
              <w:t xml:space="preserve">essere stabiliti in uno dei paesi ammissibili, ovvero:</w:t>
            </w:r>
          </w:p>
          <w:p w:rsidR="00000000" w:rsidDel="00000000" w:rsidP="00000000" w:rsidRDefault="00000000" w:rsidRPr="00000000" w14:paraId="00000045">
            <w:pPr>
              <w:numPr>
                <w:ilvl w:val="2"/>
                <w:numId w:val="2"/>
              </w:numPr>
              <w:spacing w:after="0" w:afterAutospacing="0" w:lineRule="auto"/>
              <w:ind w:left="2160" w:hanging="360"/>
              <w:jc w:val="both"/>
              <w:rPr>
                <w:u w:val="none"/>
              </w:rPr>
            </w:pPr>
            <w:r w:rsidDel="00000000" w:rsidR="00000000" w:rsidRPr="00000000">
              <w:rPr>
                <w:rtl w:val="0"/>
              </w:rPr>
              <w:t xml:space="preserve">Stati membri dell'UE (inclusi i paesi e territori d'oltremare (PTOM)), esclusa la Danimarca.</w:t>
            </w:r>
          </w:p>
          <w:p w:rsidR="00000000" w:rsidDel="00000000" w:rsidP="00000000" w:rsidRDefault="00000000" w:rsidRPr="00000000" w14:paraId="00000046">
            <w:pPr>
              <w:numPr>
                <w:ilvl w:val="1"/>
                <w:numId w:val="2"/>
              </w:numPr>
              <w:spacing w:after="0" w:afterAutospacing="0" w:lineRule="auto"/>
              <w:ind w:left="1440" w:hanging="360"/>
              <w:jc w:val="both"/>
            </w:pPr>
            <w:r w:rsidDel="00000000" w:rsidR="00000000" w:rsidRPr="00000000">
              <w:rPr>
                <w:rtl w:val="0"/>
              </w:rPr>
              <w:t xml:space="preserve">Paesi extra-UE:</w:t>
            </w:r>
          </w:p>
          <w:p w:rsidR="00000000" w:rsidDel="00000000" w:rsidP="00000000" w:rsidRDefault="00000000" w:rsidRPr="00000000" w14:paraId="00000047">
            <w:pPr>
              <w:numPr>
                <w:ilvl w:val="2"/>
                <w:numId w:val="2"/>
              </w:numPr>
              <w:spacing w:after="240" w:lineRule="auto"/>
              <w:ind w:left="2160" w:hanging="360"/>
              <w:jc w:val="both"/>
            </w:pPr>
            <w:r w:rsidDel="00000000" w:rsidR="00000000" w:rsidRPr="00000000">
              <w:rPr>
                <w:rtl w:val="0"/>
              </w:rPr>
              <w:t xml:space="preserve">Paesi associati al AMIF o Paesi con negoziazioni in corso per un accordo di associazione e il cui accordo entra in vigore prima della firma della sovvenzione</w:t>
            </w:r>
          </w:p>
          <w:p w:rsidR="00000000" w:rsidDel="00000000" w:rsidP="00000000" w:rsidRDefault="00000000" w:rsidRPr="00000000" w14:paraId="00000048">
            <w:pPr>
              <w:spacing w:after="240" w:lineRule="auto"/>
              <w:ind w:left="0" w:firstLine="0"/>
              <w:jc w:val="both"/>
              <w:rPr/>
            </w:pPr>
            <w:r w:rsidDel="00000000" w:rsidR="00000000" w:rsidRPr="00000000">
              <w:rPr>
                <w:rtl w:val="0"/>
              </w:rPr>
            </w:r>
          </w:p>
          <w:p w:rsidR="00000000" w:rsidDel="00000000" w:rsidP="00000000" w:rsidRDefault="00000000" w:rsidRPr="00000000" w14:paraId="00000049">
            <w:pPr>
              <w:numPr>
                <w:ilvl w:val="0"/>
                <w:numId w:val="2"/>
              </w:numPr>
              <w:spacing w:after="240" w:lineRule="auto"/>
              <w:ind w:left="720" w:hanging="360"/>
              <w:jc w:val="both"/>
              <w:rPr>
                <w:u w:val="none"/>
              </w:rPr>
            </w:pPr>
            <w:r w:rsidDel="00000000" w:rsidR="00000000" w:rsidRPr="00000000">
              <w:rPr>
                <w:rtl w:val="0"/>
              </w:rPr>
              <w:t xml:space="preserve">Altre entità possono partecipare ad altri ruoli del consorzio, come ad esempio partner associati, subappaltatori, terze parti che forniscono contributi in natura, ecc.</w:t>
            </w:r>
          </w:p>
          <w:p w:rsidR="00000000" w:rsidDel="00000000" w:rsidP="00000000" w:rsidRDefault="00000000" w:rsidRPr="00000000" w14:paraId="0000004A">
            <w:pPr>
              <w:spacing w:after="240" w:lineRule="auto"/>
              <w:ind w:left="720" w:firstLine="0"/>
              <w:jc w:val="both"/>
              <w:rPr/>
            </w:pPr>
            <w:r w:rsidDel="00000000" w:rsidR="00000000" w:rsidRPr="00000000">
              <w:rPr>
                <w:rtl w:val="0"/>
              </w:rPr>
            </w:r>
          </w:p>
          <w:p w:rsidR="00000000" w:rsidDel="00000000" w:rsidP="00000000" w:rsidRDefault="00000000" w:rsidRPr="00000000" w14:paraId="0000004B">
            <w:pPr>
              <w:numPr>
                <w:ilvl w:val="0"/>
                <w:numId w:val="2"/>
              </w:numPr>
              <w:spacing w:after="240" w:lineRule="auto"/>
              <w:ind w:left="720" w:hanging="360"/>
              <w:jc w:val="both"/>
              <w:rPr>
                <w:u w:val="none"/>
              </w:rPr>
            </w:pPr>
            <w:r w:rsidDel="00000000" w:rsidR="00000000" w:rsidRPr="00000000">
              <w:rPr>
                <w:rtl w:val="0"/>
              </w:rPr>
              <w:t xml:space="preserve">I progetti devono avere una </w:t>
            </w:r>
            <w:r w:rsidDel="00000000" w:rsidR="00000000" w:rsidRPr="00000000">
              <w:rPr>
                <w:b w:val="1"/>
                <w:color w:val="ff0000"/>
                <w:rtl w:val="0"/>
              </w:rPr>
              <w:t xml:space="preserve">durata massima</w:t>
            </w:r>
            <w:r w:rsidDel="00000000" w:rsidR="00000000" w:rsidRPr="00000000">
              <w:rPr>
                <w:rtl w:val="0"/>
              </w:rPr>
              <w:t xml:space="preserve"> di </w:t>
            </w:r>
            <w:r w:rsidDel="00000000" w:rsidR="00000000" w:rsidRPr="00000000">
              <w:rPr>
                <w:b w:val="1"/>
                <w:color w:val="ff0000"/>
                <w:rtl w:val="0"/>
              </w:rPr>
              <w:t xml:space="preserve">36 mesi</w:t>
            </w:r>
            <w:r w:rsidDel="00000000" w:rsidR="00000000" w:rsidRPr="00000000">
              <w:rPr>
                <w:rtl w:val="0"/>
              </w:rPr>
              <w:t xml:space="preserve"> per gli argomenti da 1 a 4 e di </w:t>
            </w:r>
            <w:r w:rsidDel="00000000" w:rsidR="00000000" w:rsidRPr="00000000">
              <w:rPr>
                <w:b w:val="1"/>
                <w:color w:val="ff0000"/>
                <w:rtl w:val="0"/>
              </w:rPr>
              <w:t xml:space="preserve">24 mesi</w:t>
            </w:r>
            <w:r w:rsidDel="00000000" w:rsidR="00000000" w:rsidRPr="00000000">
              <w:rPr>
                <w:rtl w:val="0"/>
              </w:rPr>
              <w:t xml:space="preserve"> per l'argomento 5 (sono possibili proroghe, se debitamente giustificate e tramite un emendamento).</w:t>
            </w:r>
          </w:p>
          <w:p w:rsidR="00000000" w:rsidDel="00000000" w:rsidP="00000000" w:rsidRDefault="00000000" w:rsidRPr="00000000" w14:paraId="0000004C">
            <w:pPr>
              <w:spacing w:after="240" w:lineRule="auto"/>
              <w:ind w:left="720" w:firstLine="0"/>
              <w:jc w:val="both"/>
              <w:rPr/>
            </w:pPr>
            <w:r w:rsidDel="00000000" w:rsidR="00000000" w:rsidRPr="00000000">
              <w:rPr>
                <w:rtl w:val="0"/>
              </w:rPr>
            </w:r>
          </w:p>
          <w:p w:rsidR="00000000" w:rsidDel="00000000" w:rsidP="00000000" w:rsidRDefault="00000000" w:rsidRPr="00000000" w14:paraId="0000004D">
            <w:pPr>
              <w:numPr>
                <w:ilvl w:val="0"/>
                <w:numId w:val="2"/>
              </w:numPr>
              <w:spacing w:after="0" w:afterAutospacing="0" w:lineRule="auto"/>
              <w:ind w:left="720" w:hanging="360"/>
              <w:jc w:val="both"/>
              <w:rPr>
                <w:u w:val="none"/>
              </w:rPr>
            </w:pPr>
            <w:r w:rsidDel="00000000" w:rsidR="00000000" w:rsidRPr="00000000">
              <w:rPr>
                <w:rtl w:val="0"/>
              </w:rPr>
              <w:t xml:space="preserve">I requisiti per i consorzi dipendono dai Topic:</w:t>
            </w:r>
          </w:p>
          <w:p w:rsidR="00000000" w:rsidDel="00000000" w:rsidP="00000000" w:rsidRDefault="00000000" w:rsidRPr="00000000" w14:paraId="0000004E">
            <w:pPr>
              <w:numPr>
                <w:ilvl w:val="1"/>
                <w:numId w:val="2"/>
              </w:numPr>
              <w:spacing w:after="0" w:afterAutospacing="0" w:lineRule="auto"/>
              <w:ind w:left="1440" w:hanging="360"/>
              <w:jc w:val="both"/>
              <w:rPr>
                <w:u w:val="none"/>
              </w:rPr>
            </w:pPr>
            <w:r w:rsidDel="00000000" w:rsidR="00000000" w:rsidRPr="00000000">
              <w:rPr>
                <w:rtl w:val="0"/>
              </w:rPr>
              <w:t xml:space="preserve">per il topic 1-AMIF-2025-TF2-AG-INTE-01-WOMEN: </w:t>
            </w:r>
          </w:p>
          <w:p w:rsidR="00000000" w:rsidDel="00000000" w:rsidP="00000000" w:rsidRDefault="00000000" w:rsidRPr="00000000" w14:paraId="0000004F">
            <w:pPr>
              <w:numPr>
                <w:ilvl w:val="2"/>
                <w:numId w:val="2"/>
              </w:numPr>
              <w:spacing w:after="0" w:afterAutospacing="0" w:lineRule="auto"/>
              <w:ind w:left="2160" w:hanging="360"/>
              <w:jc w:val="both"/>
            </w:pPr>
            <w:r w:rsidDel="00000000" w:rsidR="00000000" w:rsidRPr="00000000">
              <w:rPr>
                <w:rtl w:val="0"/>
              </w:rPr>
              <w:t xml:space="preserve">minimo cinque candidati (beneficiari; entità non affiliate) provenienti da cinque diversi Stati membri partecipanti. Le entità affiliate e le organizzazioni internazionali non possono essere conteggiate ai fini del raggiungimento del numero minimo di Stati membri partecipanti;</w:t>
            </w:r>
          </w:p>
          <w:p w:rsidR="00000000" w:rsidDel="00000000" w:rsidP="00000000" w:rsidRDefault="00000000" w:rsidRPr="00000000" w14:paraId="00000050">
            <w:pPr>
              <w:numPr>
                <w:ilvl w:val="2"/>
                <w:numId w:val="2"/>
              </w:numPr>
              <w:spacing w:after="0" w:afterAutospacing="0" w:lineRule="auto"/>
              <w:ind w:left="2160" w:hanging="360"/>
              <w:jc w:val="both"/>
            </w:pPr>
            <w:r w:rsidDel="00000000" w:rsidR="00000000" w:rsidRPr="00000000">
              <w:rPr>
                <w:rtl w:val="0"/>
              </w:rPr>
              <w:t xml:space="preserve">le seguenti entità NON possono candidarsi come coordinatori:</w:t>
            </w:r>
          </w:p>
          <w:p w:rsidR="00000000" w:rsidDel="00000000" w:rsidP="00000000" w:rsidRDefault="00000000" w:rsidRPr="00000000" w14:paraId="00000051">
            <w:pPr>
              <w:numPr>
                <w:ilvl w:val="3"/>
                <w:numId w:val="2"/>
              </w:numPr>
              <w:spacing w:after="240" w:lineRule="auto"/>
              <w:ind w:left="2880" w:hanging="360"/>
              <w:jc w:val="both"/>
            </w:pPr>
            <w:r w:rsidDel="00000000" w:rsidR="00000000" w:rsidRPr="00000000">
              <w:rPr>
                <w:rtl w:val="0"/>
              </w:rPr>
              <w:t xml:space="preserve"> entità a scopo di lucro</w:t>
            </w:r>
          </w:p>
          <w:p w:rsidR="00000000" w:rsidDel="00000000" w:rsidP="00000000" w:rsidRDefault="00000000" w:rsidRPr="00000000" w14:paraId="00000052">
            <w:pPr>
              <w:spacing w:after="240" w:lineRule="auto"/>
              <w:ind w:left="2880" w:firstLine="0"/>
              <w:jc w:val="both"/>
              <w:rPr/>
            </w:pPr>
            <w:r w:rsidDel="00000000" w:rsidR="00000000" w:rsidRPr="00000000">
              <w:rPr>
                <w:rtl w:val="0"/>
              </w:rPr>
            </w:r>
          </w:p>
          <w:p w:rsidR="00000000" w:rsidDel="00000000" w:rsidP="00000000" w:rsidRDefault="00000000" w:rsidRPr="00000000" w14:paraId="00000053">
            <w:pPr>
              <w:numPr>
                <w:ilvl w:val="1"/>
                <w:numId w:val="6"/>
              </w:numPr>
              <w:spacing w:after="0" w:afterAutospacing="0" w:lineRule="auto"/>
              <w:ind w:left="1440" w:hanging="360"/>
              <w:jc w:val="both"/>
              <w:rPr>
                <w:u w:val="none"/>
              </w:rPr>
            </w:pPr>
            <w:r w:rsidDel="00000000" w:rsidR="00000000" w:rsidRPr="00000000">
              <w:rPr>
                <w:rtl w:val="0"/>
              </w:rPr>
              <w:t xml:space="preserve">per il topic 2 - AMIF-2025-TF2-AG-INTE-02-HEALTH:</w:t>
            </w:r>
          </w:p>
          <w:p w:rsidR="00000000" w:rsidDel="00000000" w:rsidP="00000000" w:rsidRDefault="00000000" w:rsidRPr="00000000" w14:paraId="00000054">
            <w:pPr>
              <w:numPr>
                <w:ilvl w:val="2"/>
                <w:numId w:val="6"/>
              </w:numPr>
              <w:spacing w:after="0" w:afterAutospacing="0" w:lineRule="auto"/>
              <w:ind w:left="2160" w:hanging="360"/>
              <w:jc w:val="both"/>
            </w:pPr>
            <w:r w:rsidDel="00000000" w:rsidR="00000000" w:rsidRPr="00000000">
              <w:rPr>
                <w:rtl w:val="0"/>
              </w:rPr>
              <w:t xml:space="preserve">minimo cinque candidati (beneficiari; entità non affiliate) provenienti da cinque diversi Stati membri partecipanti. Le entità affiliate e le organizzazioni internazionali non possono essere conteggiate ai fini del raggiungimento del numero minimo di Stati membri partecipanti;</w:t>
            </w:r>
          </w:p>
          <w:p w:rsidR="00000000" w:rsidDel="00000000" w:rsidP="00000000" w:rsidRDefault="00000000" w:rsidRPr="00000000" w14:paraId="00000055">
            <w:pPr>
              <w:numPr>
                <w:ilvl w:val="2"/>
                <w:numId w:val="6"/>
              </w:numPr>
              <w:spacing w:after="0" w:afterAutospacing="0" w:lineRule="auto"/>
              <w:ind w:left="2160" w:hanging="360"/>
              <w:jc w:val="both"/>
            </w:pPr>
            <w:r w:rsidDel="00000000" w:rsidR="00000000" w:rsidRPr="00000000">
              <w:rPr>
                <w:rtl w:val="0"/>
              </w:rPr>
              <w:t xml:space="preserve">le seguenti entità NON possono candidarsi come coordinatori:</w:t>
            </w:r>
          </w:p>
          <w:p w:rsidR="00000000" w:rsidDel="00000000" w:rsidP="00000000" w:rsidRDefault="00000000" w:rsidRPr="00000000" w14:paraId="00000056">
            <w:pPr>
              <w:numPr>
                <w:ilvl w:val="3"/>
                <w:numId w:val="6"/>
              </w:numPr>
              <w:spacing w:after="240" w:lineRule="auto"/>
              <w:ind w:left="2880" w:hanging="360"/>
              <w:jc w:val="both"/>
            </w:pPr>
            <w:r w:rsidDel="00000000" w:rsidR="00000000" w:rsidRPr="00000000">
              <w:rPr>
                <w:rtl w:val="0"/>
              </w:rPr>
              <w:t xml:space="preserve"> entità a scopo di lucro</w:t>
            </w:r>
          </w:p>
          <w:p w:rsidR="00000000" w:rsidDel="00000000" w:rsidP="00000000" w:rsidRDefault="00000000" w:rsidRPr="00000000" w14:paraId="00000057">
            <w:pPr>
              <w:spacing w:after="240" w:lineRule="auto"/>
              <w:ind w:left="2880" w:firstLine="0"/>
              <w:jc w:val="both"/>
              <w:rPr/>
            </w:pPr>
            <w:r w:rsidDel="00000000" w:rsidR="00000000" w:rsidRPr="00000000">
              <w:rPr>
                <w:rtl w:val="0"/>
              </w:rPr>
            </w:r>
          </w:p>
          <w:p w:rsidR="00000000" w:rsidDel="00000000" w:rsidP="00000000" w:rsidRDefault="00000000" w:rsidRPr="00000000" w14:paraId="00000058">
            <w:pPr>
              <w:numPr>
                <w:ilvl w:val="1"/>
                <w:numId w:val="6"/>
              </w:numPr>
              <w:spacing w:after="0" w:afterAutospacing="0" w:lineRule="auto"/>
              <w:ind w:left="1440" w:hanging="360"/>
              <w:jc w:val="both"/>
              <w:rPr>
                <w:u w:val="none"/>
              </w:rPr>
            </w:pPr>
            <w:r w:rsidDel="00000000" w:rsidR="00000000" w:rsidRPr="00000000">
              <w:rPr>
                <w:rtl w:val="0"/>
              </w:rPr>
              <w:t xml:space="preserve">per il topic 3 - AMIF-2025-TF2-AG-INTE-03-DIGITAL:</w:t>
            </w:r>
          </w:p>
          <w:p w:rsidR="00000000" w:rsidDel="00000000" w:rsidP="00000000" w:rsidRDefault="00000000" w:rsidRPr="00000000" w14:paraId="00000059">
            <w:pPr>
              <w:numPr>
                <w:ilvl w:val="2"/>
                <w:numId w:val="6"/>
              </w:numPr>
              <w:spacing w:after="0" w:afterAutospacing="0" w:lineRule="auto"/>
              <w:ind w:left="2160" w:hanging="360"/>
              <w:jc w:val="both"/>
            </w:pPr>
            <w:r w:rsidDel="00000000" w:rsidR="00000000" w:rsidRPr="00000000">
              <w:rPr>
                <w:rtl w:val="0"/>
              </w:rPr>
              <w:t xml:space="preserve">minimo cinque candidati (beneficiari; entità non affiliate) provenienti da cinque diversi Stati membri partecipanti. Le entità affiliate e le organizzazioni internazionali non possono essere conteggiate ai fini del raggiungimento del numero minimo di Stati membri partecipanti;</w:t>
            </w:r>
          </w:p>
          <w:p w:rsidR="00000000" w:rsidDel="00000000" w:rsidP="00000000" w:rsidRDefault="00000000" w:rsidRPr="00000000" w14:paraId="0000005A">
            <w:pPr>
              <w:numPr>
                <w:ilvl w:val="2"/>
                <w:numId w:val="6"/>
              </w:numPr>
              <w:spacing w:after="0" w:afterAutospacing="0" w:lineRule="auto"/>
              <w:ind w:left="2160" w:hanging="360"/>
              <w:jc w:val="both"/>
            </w:pPr>
            <w:r w:rsidDel="00000000" w:rsidR="00000000" w:rsidRPr="00000000">
              <w:rPr>
                <w:rtl w:val="0"/>
              </w:rPr>
              <w:t xml:space="preserve">le seguenti entità NON possono candidarsi come coordinatori:</w:t>
            </w:r>
          </w:p>
          <w:p w:rsidR="00000000" w:rsidDel="00000000" w:rsidP="00000000" w:rsidRDefault="00000000" w:rsidRPr="00000000" w14:paraId="0000005B">
            <w:pPr>
              <w:numPr>
                <w:ilvl w:val="3"/>
                <w:numId w:val="6"/>
              </w:numPr>
              <w:spacing w:after="240" w:lineRule="auto"/>
              <w:ind w:left="2880" w:hanging="360"/>
              <w:jc w:val="both"/>
            </w:pPr>
            <w:r w:rsidDel="00000000" w:rsidR="00000000" w:rsidRPr="00000000">
              <w:rPr>
                <w:rtl w:val="0"/>
              </w:rPr>
              <w:t xml:space="preserve"> entità a scopo di lucro</w:t>
            </w:r>
          </w:p>
          <w:p w:rsidR="00000000" w:rsidDel="00000000" w:rsidP="00000000" w:rsidRDefault="00000000" w:rsidRPr="00000000" w14:paraId="0000005C">
            <w:pPr>
              <w:spacing w:after="240" w:lineRule="auto"/>
              <w:ind w:left="2880" w:firstLine="0"/>
              <w:jc w:val="both"/>
              <w:rPr/>
            </w:pPr>
            <w:r w:rsidDel="00000000" w:rsidR="00000000" w:rsidRPr="00000000">
              <w:rPr>
                <w:rtl w:val="0"/>
              </w:rPr>
            </w:r>
          </w:p>
          <w:p w:rsidR="00000000" w:rsidDel="00000000" w:rsidP="00000000" w:rsidRDefault="00000000" w:rsidRPr="00000000" w14:paraId="0000005D">
            <w:pPr>
              <w:numPr>
                <w:ilvl w:val="1"/>
                <w:numId w:val="6"/>
              </w:numPr>
              <w:spacing w:after="0" w:afterAutospacing="0" w:lineRule="auto"/>
              <w:ind w:left="1440" w:hanging="360"/>
              <w:jc w:val="both"/>
              <w:rPr>
                <w:u w:val="none"/>
              </w:rPr>
            </w:pPr>
            <w:r w:rsidDel="00000000" w:rsidR="00000000" w:rsidRPr="00000000">
              <w:rPr>
                <w:rtl w:val="0"/>
              </w:rPr>
              <w:t xml:space="preserve">per il topic 4 - AMIF-2025-TF2-AG-INTE-04-PATHWAYS: </w:t>
            </w:r>
          </w:p>
          <w:p w:rsidR="00000000" w:rsidDel="00000000" w:rsidP="00000000" w:rsidRDefault="00000000" w:rsidRPr="00000000" w14:paraId="0000005E">
            <w:pPr>
              <w:numPr>
                <w:ilvl w:val="2"/>
                <w:numId w:val="6"/>
              </w:numPr>
              <w:spacing w:after="0" w:afterAutospacing="0" w:lineRule="auto"/>
              <w:ind w:left="2160" w:hanging="360"/>
              <w:jc w:val="both"/>
              <w:rPr>
                <w:u w:val="none"/>
              </w:rPr>
            </w:pPr>
            <w:r w:rsidDel="00000000" w:rsidR="00000000" w:rsidRPr="00000000">
              <w:rPr>
                <w:rtl w:val="0"/>
              </w:rPr>
              <w:t xml:space="preserve">Almeno tre candidati (beneficiari; entità non affiliate) provenienti da tre diversi Stati membri partecipanti. Le entità affiliate e le organizzazioni internazionali non possono essere conteggiate ai fini del raggiungimento del numero minimo di Stati membri partecipanti;</w:t>
            </w:r>
          </w:p>
          <w:p w:rsidR="00000000" w:rsidDel="00000000" w:rsidP="00000000" w:rsidRDefault="00000000" w:rsidRPr="00000000" w14:paraId="0000005F">
            <w:pPr>
              <w:numPr>
                <w:ilvl w:val="2"/>
                <w:numId w:val="6"/>
              </w:numPr>
              <w:spacing w:after="0" w:afterAutospacing="0" w:lineRule="auto"/>
              <w:ind w:left="2160" w:hanging="360"/>
              <w:jc w:val="both"/>
            </w:pPr>
            <w:r w:rsidDel="00000000" w:rsidR="00000000" w:rsidRPr="00000000">
              <w:rPr>
                <w:rtl w:val="0"/>
              </w:rPr>
              <w:t xml:space="preserve">Le seguenti entità NON possono candidarsi come coordinatori:</w:t>
            </w:r>
          </w:p>
          <w:p w:rsidR="00000000" w:rsidDel="00000000" w:rsidP="00000000" w:rsidRDefault="00000000" w:rsidRPr="00000000" w14:paraId="00000060">
            <w:pPr>
              <w:numPr>
                <w:ilvl w:val="3"/>
                <w:numId w:val="6"/>
              </w:numPr>
              <w:spacing w:after="240" w:lineRule="auto"/>
              <w:ind w:left="2880" w:hanging="360"/>
              <w:jc w:val="both"/>
            </w:pPr>
            <w:r w:rsidDel="00000000" w:rsidR="00000000" w:rsidRPr="00000000">
              <w:rPr>
                <w:rtl w:val="0"/>
              </w:rPr>
              <w:t xml:space="preserve">entità a scopo di lucro</w:t>
            </w:r>
          </w:p>
          <w:p w:rsidR="00000000" w:rsidDel="00000000" w:rsidP="00000000" w:rsidRDefault="00000000" w:rsidRPr="00000000" w14:paraId="00000061">
            <w:pPr>
              <w:spacing w:after="240" w:lineRule="auto"/>
              <w:ind w:left="2160" w:firstLine="0"/>
              <w:jc w:val="both"/>
              <w:rPr/>
            </w:pPr>
            <w:r w:rsidDel="00000000" w:rsidR="00000000" w:rsidRPr="00000000">
              <w:rPr>
                <w:rtl w:val="0"/>
              </w:rPr>
            </w:r>
          </w:p>
          <w:p w:rsidR="00000000" w:rsidDel="00000000" w:rsidP="00000000" w:rsidRDefault="00000000" w:rsidRPr="00000000" w14:paraId="00000062">
            <w:pPr>
              <w:numPr>
                <w:ilvl w:val="1"/>
                <w:numId w:val="6"/>
              </w:numPr>
              <w:spacing w:after="0" w:afterAutospacing="0" w:lineRule="auto"/>
              <w:ind w:left="1440" w:hanging="360"/>
              <w:jc w:val="both"/>
              <w:rPr>
                <w:u w:val="none"/>
              </w:rPr>
            </w:pPr>
            <w:r w:rsidDel="00000000" w:rsidR="00000000" w:rsidRPr="00000000">
              <w:rPr>
                <w:rtl w:val="0"/>
              </w:rPr>
              <w:t xml:space="preserve">per il topic 5 - AMIF-2025-TF2-AG-INTE-04-CHILDREN: </w:t>
            </w:r>
          </w:p>
          <w:p w:rsidR="00000000" w:rsidDel="00000000" w:rsidP="00000000" w:rsidRDefault="00000000" w:rsidRPr="00000000" w14:paraId="00000063">
            <w:pPr>
              <w:numPr>
                <w:ilvl w:val="2"/>
                <w:numId w:val="6"/>
              </w:numPr>
              <w:spacing w:after="0" w:afterAutospacing="0" w:lineRule="auto"/>
              <w:ind w:left="2160" w:hanging="360"/>
              <w:jc w:val="both"/>
              <w:rPr>
                <w:u w:val="none"/>
              </w:rPr>
            </w:pPr>
            <w:r w:rsidDel="00000000" w:rsidR="00000000" w:rsidRPr="00000000">
              <w:rPr>
                <w:rtl w:val="0"/>
              </w:rPr>
              <w:t xml:space="preserve">Un minimo di tre richiedenti (beneficiari; entità non affiliate) provenienti da almeno due diversi Stati membri partecipanti.</w:t>
            </w:r>
          </w:p>
          <w:p w:rsidR="00000000" w:rsidDel="00000000" w:rsidP="00000000" w:rsidRDefault="00000000" w:rsidRPr="00000000" w14:paraId="00000064">
            <w:pPr>
              <w:numPr>
                <w:ilvl w:val="2"/>
                <w:numId w:val="6"/>
              </w:numPr>
              <w:spacing w:after="0" w:afterAutospacing="0" w:lineRule="auto"/>
              <w:ind w:left="2160" w:hanging="360"/>
              <w:jc w:val="both"/>
              <w:rPr>
                <w:u w:val="none"/>
              </w:rPr>
            </w:pPr>
            <w:r w:rsidDel="00000000" w:rsidR="00000000" w:rsidRPr="00000000">
              <w:rPr>
                <w:rtl w:val="0"/>
              </w:rPr>
              <w:t xml:space="preserve">Le entità affiliate e le organizzazioni internazionali non possono essere conteggiate ai fini del raggiungimento del numero minimo di Stati membri partecipanti.</w:t>
            </w:r>
          </w:p>
          <w:p w:rsidR="00000000" w:rsidDel="00000000" w:rsidP="00000000" w:rsidRDefault="00000000" w:rsidRPr="00000000" w14:paraId="00000065">
            <w:pPr>
              <w:numPr>
                <w:ilvl w:val="2"/>
                <w:numId w:val="6"/>
              </w:numPr>
              <w:spacing w:after="0" w:afterAutospacing="0" w:lineRule="auto"/>
              <w:ind w:left="2160" w:hanging="360"/>
              <w:jc w:val="both"/>
              <w:rPr>
                <w:u w:val="none"/>
              </w:rPr>
            </w:pPr>
            <w:r w:rsidDel="00000000" w:rsidR="00000000" w:rsidRPr="00000000">
              <w:rPr>
                <w:rtl w:val="0"/>
              </w:rPr>
              <w:t xml:space="preserve">Deve esserci almeno un'autorità nazionale responsabile dell'accertamento dell'età per Stato membro partecipante (le autorità </w:t>
            </w:r>
            <w:r w:rsidDel="00000000" w:rsidR="00000000" w:rsidRPr="00000000">
              <w:rPr>
                <w:rtl w:val="0"/>
              </w:rPr>
              <w:t xml:space="preserve">accertanti</w:t>
            </w:r>
            <w:r w:rsidDel="00000000" w:rsidR="00000000" w:rsidRPr="00000000">
              <w:rPr>
                <w:rtl w:val="0"/>
              </w:rPr>
              <w:t xml:space="preserve"> ai sensi del TAEG, ad esempio il ministero/organismo responsabile incaricato dal mandato dell'autorità competente, a seconda della struttura nazionale).</w:t>
            </w:r>
          </w:p>
          <w:p w:rsidR="00000000" w:rsidDel="00000000" w:rsidP="00000000" w:rsidRDefault="00000000" w:rsidRPr="00000000" w14:paraId="00000066">
            <w:pPr>
              <w:numPr>
                <w:ilvl w:val="2"/>
                <w:numId w:val="6"/>
              </w:numPr>
              <w:spacing w:after="0" w:afterAutospacing="0" w:lineRule="auto"/>
              <w:ind w:left="2160" w:hanging="360"/>
              <w:jc w:val="both"/>
            </w:pPr>
            <w:r w:rsidDel="00000000" w:rsidR="00000000" w:rsidRPr="00000000">
              <w:rPr>
                <w:rtl w:val="0"/>
              </w:rPr>
              <w:t xml:space="preserve">Le seguenti entità NON possono candidarsi come coordinatori o co-beneficiari: </w:t>
            </w:r>
          </w:p>
          <w:p w:rsidR="00000000" w:rsidDel="00000000" w:rsidP="00000000" w:rsidRDefault="00000000" w:rsidRPr="00000000" w14:paraId="00000067">
            <w:pPr>
              <w:numPr>
                <w:ilvl w:val="3"/>
                <w:numId w:val="6"/>
              </w:numPr>
              <w:spacing w:after="240" w:lineRule="auto"/>
              <w:ind w:left="2880" w:hanging="360"/>
              <w:jc w:val="both"/>
            </w:pPr>
            <w:r w:rsidDel="00000000" w:rsidR="00000000" w:rsidRPr="00000000">
              <w:rPr>
                <w:rtl w:val="0"/>
              </w:rPr>
              <w:t xml:space="preserve">Entità a scopo di lucro</w:t>
            </w:r>
          </w:p>
        </w:tc>
      </w:tr>
      <w:tr>
        <w:trPr>
          <w:cantSplit w:val="0"/>
          <w:tblHeader w:val="0"/>
        </w:trPr>
        <w:tc>
          <w:tcPr>
            <w:shd w:fill="f2f2f2" w:val="clear"/>
          </w:tcPr>
          <w:p w:rsidR="00000000" w:rsidDel="00000000" w:rsidP="00000000" w:rsidRDefault="00000000" w:rsidRPr="00000000" w14:paraId="00000069">
            <w:pPr>
              <w:spacing w:after="240" w:lineRule="auto"/>
              <w:rPr>
                <w:b w:val="1"/>
              </w:rPr>
            </w:pPr>
            <w:r w:rsidDel="00000000" w:rsidR="00000000" w:rsidRPr="00000000">
              <w:rPr>
                <w:b w:val="1"/>
                <w:rtl w:val="0"/>
              </w:rPr>
              <w:t xml:space="preserve">Soggetti responsabili/ammessi:</w:t>
            </w:r>
          </w:p>
        </w:tc>
        <w:tc>
          <w:tcPr>
            <w:gridSpan w:val="2"/>
          </w:tcPr>
          <w:p w:rsidR="00000000" w:rsidDel="00000000" w:rsidP="00000000" w:rsidRDefault="00000000" w:rsidRPr="00000000" w14:paraId="0000006A">
            <w:pPr>
              <w:spacing w:after="120" w:before="240" w:lineRule="auto"/>
              <w:rPr>
                <w:b w:val="1"/>
              </w:rPr>
            </w:pPr>
            <w:r w:rsidDel="00000000" w:rsidR="00000000" w:rsidRPr="00000000">
              <w:rPr>
                <w:b w:val="1"/>
                <w:rtl w:val="0"/>
              </w:rPr>
              <w:t xml:space="preserve">Università:</w:t>
            </w:r>
          </w:p>
          <w:p w:rsidR="00000000" w:rsidDel="00000000" w:rsidP="00000000" w:rsidRDefault="00000000" w:rsidRPr="00000000" w14:paraId="0000006B">
            <w:pPr>
              <w:spacing w:after="120" w:lineRule="auto"/>
              <w:rPr>
                <w:b w:val="1"/>
              </w:rPr>
            </w:pPr>
            <w:r w:rsidDel="00000000" w:rsidR="00000000" w:rsidRPr="00000000">
              <w:rPr>
                <w:rFonts w:ascii="MS Gothic" w:cs="MS Gothic" w:eastAsia="MS Gothic" w:hAnsi="MS Gothic"/>
                <w:b w:val="1"/>
                <w:rtl w:val="0"/>
              </w:rPr>
              <w:t xml:space="preserve">X☐</w:t>
            </w:r>
            <w:r w:rsidDel="00000000" w:rsidR="00000000" w:rsidRPr="00000000">
              <w:rPr>
                <w:b w:val="1"/>
                <w:rtl w:val="0"/>
              </w:rPr>
              <w:t xml:space="preserve"> Sì</w:t>
            </w:r>
          </w:p>
          <w:p w:rsidR="00000000" w:rsidDel="00000000" w:rsidP="00000000" w:rsidRDefault="00000000" w:rsidRPr="00000000" w14:paraId="0000006C">
            <w:pPr>
              <w:spacing w:after="120" w:lineRule="auto"/>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No </w:t>
            </w:r>
          </w:p>
          <w:p w:rsidR="00000000" w:rsidDel="00000000" w:rsidP="00000000" w:rsidRDefault="00000000" w:rsidRPr="00000000" w14:paraId="0000006D">
            <w:pPr>
              <w:spacing w:after="240" w:lineRule="auto"/>
              <w:rPr>
                <w:b w:val="1"/>
              </w:rPr>
            </w:pPr>
            <w:r w:rsidDel="00000000" w:rsidR="00000000" w:rsidRPr="00000000">
              <w:rPr>
                <w:b w:val="1"/>
                <w:rtl w:val="0"/>
              </w:rPr>
              <w:t xml:space="preserve">Altri soggetti responsabili/ ammessi:</w:t>
            </w:r>
          </w:p>
          <w:p w:rsidR="00000000" w:rsidDel="00000000" w:rsidP="00000000" w:rsidRDefault="00000000" w:rsidRPr="00000000" w14:paraId="0000006E">
            <w:pPr>
              <w:numPr>
                <w:ilvl w:val="0"/>
                <w:numId w:val="3"/>
              </w:numPr>
              <w:spacing w:after="0" w:afterAutospacing="0" w:before="240" w:lineRule="auto"/>
              <w:ind w:left="720" w:hanging="360"/>
              <w:jc w:val="both"/>
              <w:rPr/>
            </w:pPr>
            <w:r w:rsidDel="00000000" w:rsidR="00000000" w:rsidRPr="00000000">
              <w:rPr>
                <w:rtl w:val="0"/>
              </w:rPr>
              <w:t xml:space="preserve">Autorità nazionali (es. ministeri, agenzie statali)</w:t>
            </w:r>
          </w:p>
          <w:p w:rsidR="00000000" w:rsidDel="00000000" w:rsidP="00000000" w:rsidRDefault="00000000" w:rsidRPr="00000000" w14:paraId="0000006F">
            <w:pPr>
              <w:numPr>
                <w:ilvl w:val="0"/>
                <w:numId w:val="3"/>
              </w:numPr>
              <w:spacing w:after="0" w:afterAutospacing="0" w:before="0" w:beforeAutospacing="0" w:lineRule="auto"/>
              <w:ind w:left="720" w:hanging="360"/>
              <w:jc w:val="both"/>
              <w:rPr/>
            </w:pPr>
            <w:r w:rsidDel="00000000" w:rsidR="00000000" w:rsidRPr="00000000">
              <w:rPr>
                <w:rtl w:val="0"/>
              </w:rPr>
              <w:t xml:space="preserve">Autorità regionali e locali (es. comuni, province, regioni)</w:t>
            </w:r>
          </w:p>
          <w:p w:rsidR="00000000" w:rsidDel="00000000" w:rsidP="00000000" w:rsidRDefault="00000000" w:rsidRPr="00000000" w14:paraId="00000070">
            <w:pPr>
              <w:numPr>
                <w:ilvl w:val="0"/>
                <w:numId w:val="3"/>
              </w:numPr>
              <w:spacing w:after="0" w:afterAutospacing="0" w:before="0" w:beforeAutospacing="0" w:lineRule="auto"/>
              <w:ind w:left="720" w:hanging="360"/>
              <w:jc w:val="both"/>
              <w:rPr/>
            </w:pPr>
            <w:r w:rsidDel="00000000" w:rsidR="00000000" w:rsidRPr="00000000">
              <w:rPr>
                <w:rtl w:val="0"/>
              </w:rPr>
              <w:t xml:space="preserve">ONG</w:t>
            </w:r>
          </w:p>
          <w:p w:rsidR="00000000" w:rsidDel="00000000" w:rsidP="00000000" w:rsidRDefault="00000000" w:rsidRPr="00000000" w14:paraId="00000071">
            <w:pPr>
              <w:numPr>
                <w:ilvl w:val="0"/>
                <w:numId w:val="4"/>
              </w:numPr>
              <w:spacing w:after="0" w:afterAutospacing="0" w:before="0" w:beforeAutospacing="0" w:lineRule="auto"/>
              <w:ind w:left="720" w:hanging="360"/>
              <w:jc w:val="both"/>
              <w:rPr/>
            </w:pPr>
            <w:r w:rsidDel="00000000" w:rsidR="00000000" w:rsidRPr="00000000">
              <w:rPr>
                <w:rtl w:val="0"/>
              </w:rPr>
              <w:t xml:space="preserve">Associazioni</w:t>
            </w:r>
          </w:p>
          <w:p w:rsidR="00000000" w:rsidDel="00000000" w:rsidP="00000000" w:rsidRDefault="00000000" w:rsidRPr="00000000" w14:paraId="00000072">
            <w:pPr>
              <w:numPr>
                <w:ilvl w:val="0"/>
                <w:numId w:val="4"/>
              </w:numPr>
              <w:spacing w:after="0" w:afterAutospacing="0" w:before="0" w:beforeAutospacing="0" w:lineRule="auto"/>
              <w:ind w:left="720" w:hanging="360"/>
              <w:jc w:val="both"/>
              <w:rPr/>
            </w:pPr>
            <w:r w:rsidDel="00000000" w:rsidR="00000000" w:rsidRPr="00000000">
              <w:rPr>
                <w:rtl w:val="0"/>
              </w:rPr>
              <w:t xml:space="preserve">Organizzazioni della società civile</w:t>
            </w:r>
          </w:p>
          <w:p w:rsidR="00000000" w:rsidDel="00000000" w:rsidP="00000000" w:rsidRDefault="00000000" w:rsidRPr="00000000" w14:paraId="00000073">
            <w:pPr>
              <w:numPr>
                <w:ilvl w:val="0"/>
                <w:numId w:val="4"/>
              </w:numPr>
              <w:spacing w:after="0" w:afterAutospacing="0" w:lineRule="auto"/>
              <w:ind w:left="720" w:hanging="360"/>
              <w:jc w:val="both"/>
              <w:rPr/>
            </w:pPr>
            <w:r w:rsidDel="00000000" w:rsidR="00000000" w:rsidRPr="00000000">
              <w:rPr>
                <w:rtl w:val="0"/>
              </w:rPr>
              <w:t xml:space="preserve">Organizzazioni guidate da migranti</w:t>
              <w:br w:type="textWrapping"/>
              <w:t xml:space="preserve">(cioè in cui persone con esperienza diretta di migrazione hanno ruoli di leadership)</w:t>
            </w:r>
          </w:p>
          <w:p w:rsidR="00000000" w:rsidDel="00000000" w:rsidP="00000000" w:rsidRDefault="00000000" w:rsidRPr="00000000" w14:paraId="00000074">
            <w:pPr>
              <w:numPr>
                <w:ilvl w:val="0"/>
                <w:numId w:val="8"/>
              </w:numPr>
              <w:spacing w:after="0" w:afterAutospacing="0" w:lineRule="auto"/>
              <w:ind w:left="720" w:hanging="360"/>
              <w:jc w:val="both"/>
              <w:rPr/>
            </w:pPr>
            <w:r w:rsidDel="00000000" w:rsidR="00000000" w:rsidRPr="00000000">
              <w:rPr>
                <w:rtl w:val="0"/>
              </w:rPr>
              <w:t xml:space="preserve">Organizzazioni internazionali</w:t>
            </w:r>
          </w:p>
          <w:p w:rsidR="00000000" w:rsidDel="00000000" w:rsidP="00000000" w:rsidRDefault="00000000" w:rsidRPr="00000000" w14:paraId="00000075">
            <w:pPr>
              <w:numPr>
                <w:ilvl w:val="0"/>
                <w:numId w:val="8"/>
              </w:numPr>
              <w:spacing w:after="0" w:afterAutospacing="0" w:before="0" w:beforeAutospacing="0" w:lineRule="auto"/>
              <w:ind w:left="720" w:hanging="360"/>
              <w:jc w:val="both"/>
              <w:rPr/>
            </w:pPr>
            <w:r w:rsidDel="00000000" w:rsidR="00000000" w:rsidRPr="00000000">
              <w:rPr>
                <w:rtl w:val="0"/>
              </w:rPr>
              <w:t xml:space="preserve">Centri di formazione professionale</w:t>
            </w:r>
          </w:p>
          <w:p w:rsidR="00000000" w:rsidDel="00000000" w:rsidP="00000000" w:rsidRDefault="00000000" w:rsidRPr="00000000" w14:paraId="00000076">
            <w:pPr>
              <w:numPr>
                <w:ilvl w:val="0"/>
                <w:numId w:val="8"/>
              </w:numPr>
              <w:spacing w:after="0" w:afterAutospacing="0" w:before="0" w:beforeAutospacing="0" w:lineRule="auto"/>
              <w:ind w:left="720" w:hanging="360"/>
              <w:jc w:val="both"/>
              <w:rPr/>
            </w:pPr>
            <w:r w:rsidDel="00000000" w:rsidR="00000000" w:rsidRPr="00000000">
              <w:rPr>
                <w:rtl w:val="0"/>
              </w:rPr>
              <w:t xml:space="preserve">Scuole e istituti superiori</w:t>
            </w:r>
          </w:p>
          <w:p w:rsidR="00000000" w:rsidDel="00000000" w:rsidP="00000000" w:rsidRDefault="00000000" w:rsidRPr="00000000" w14:paraId="00000077">
            <w:pPr>
              <w:numPr>
                <w:ilvl w:val="0"/>
                <w:numId w:val="8"/>
              </w:numPr>
              <w:spacing w:after="0" w:afterAutospacing="0" w:lineRule="auto"/>
              <w:ind w:left="720" w:hanging="360"/>
              <w:jc w:val="both"/>
              <w:rPr/>
            </w:pPr>
            <w:r w:rsidDel="00000000" w:rsidR="00000000" w:rsidRPr="00000000">
              <w:rPr>
                <w:rtl w:val="0"/>
              </w:rPr>
              <w:t xml:space="preserve">Centri di ricerca e think tank attivi nei temi del bando</w:t>
            </w:r>
          </w:p>
          <w:p w:rsidR="00000000" w:rsidDel="00000000" w:rsidP="00000000" w:rsidRDefault="00000000" w:rsidRPr="00000000" w14:paraId="00000078">
            <w:pPr>
              <w:numPr>
                <w:ilvl w:val="0"/>
                <w:numId w:val="8"/>
              </w:numPr>
              <w:spacing w:after="0" w:afterAutospacing="0" w:lineRule="auto"/>
              <w:ind w:left="720" w:hanging="360"/>
              <w:jc w:val="both"/>
              <w:rPr/>
            </w:pPr>
            <w:r w:rsidDel="00000000" w:rsidR="00000000" w:rsidRPr="00000000">
              <w:rPr>
                <w:rtl w:val="0"/>
              </w:rPr>
              <w:t xml:space="preserve">Imprese sociali e cooperative, se contribuiscono chiaramente agli obiettivi del progetto</w:t>
            </w:r>
          </w:p>
          <w:p w:rsidR="00000000" w:rsidDel="00000000" w:rsidP="00000000" w:rsidRDefault="00000000" w:rsidRPr="00000000" w14:paraId="00000079">
            <w:pPr>
              <w:numPr>
                <w:ilvl w:val="0"/>
                <w:numId w:val="8"/>
              </w:numPr>
              <w:spacing w:after="0" w:afterAutospacing="0" w:lineRule="auto"/>
              <w:ind w:left="720" w:hanging="360"/>
              <w:jc w:val="both"/>
              <w:rPr/>
            </w:pPr>
            <w:r w:rsidDel="00000000" w:rsidR="00000000" w:rsidRPr="00000000">
              <w:rPr>
                <w:rtl w:val="0"/>
              </w:rPr>
              <w:t xml:space="preserve">Enti privati a scopo di lucro (es. aziende), solo se:</w:t>
            </w:r>
          </w:p>
          <w:p w:rsidR="00000000" w:rsidDel="00000000" w:rsidP="00000000" w:rsidRDefault="00000000" w:rsidRPr="00000000" w14:paraId="0000007A">
            <w:pPr>
              <w:numPr>
                <w:ilvl w:val="1"/>
                <w:numId w:val="8"/>
              </w:numPr>
              <w:spacing w:after="0" w:afterAutospacing="0" w:lineRule="auto"/>
              <w:ind w:left="1440" w:hanging="360"/>
              <w:jc w:val="both"/>
              <w:rPr/>
            </w:pPr>
            <w:r w:rsidDel="00000000" w:rsidR="00000000" w:rsidRPr="00000000">
              <w:rPr>
                <w:rtl w:val="0"/>
              </w:rPr>
              <w:t xml:space="preserve">Aggiungono valore concreto all’azione proposta</w:t>
            </w:r>
          </w:p>
          <w:p w:rsidR="00000000" w:rsidDel="00000000" w:rsidP="00000000" w:rsidRDefault="00000000" w:rsidRPr="00000000" w14:paraId="0000007B">
            <w:pPr>
              <w:numPr>
                <w:ilvl w:val="1"/>
                <w:numId w:val="8"/>
              </w:numPr>
              <w:spacing w:after="240" w:lineRule="auto"/>
              <w:ind w:left="1440" w:hanging="360"/>
              <w:jc w:val="both"/>
              <w:rPr/>
            </w:pPr>
            <w:r w:rsidDel="00000000" w:rsidR="00000000" w:rsidRPr="00000000">
              <w:rPr>
                <w:rtl w:val="0"/>
              </w:rPr>
              <w:t xml:space="preserve">Non perseguono finalità esclusivamente commerciali</w:t>
            </w:r>
          </w:p>
        </w:tc>
      </w:tr>
      <w:tr>
        <w:trPr>
          <w:cantSplit w:val="0"/>
          <w:tblHeader w:val="0"/>
        </w:trPr>
        <w:tc>
          <w:tcPr>
            <w:shd w:fill="f2f2f2" w:val="clear"/>
          </w:tcPr>
          <w:p w:rsidR="00000000" w:rsidDel="00000000" w:rsidP="00000000" w:rsidRDefault="00000000" w:rsidRPr="00000000" w14:paraId="0000007D">
            <w:pPr>
              <w:spacing w:after="240" w:lineRule="auto"/>
              <w:rPr>
                <w:b w:val="1"/>
              </w:rPr>
            </w:pPr>
            <w:r w:rsidDel="00000000" w:rsidR="00000000" w:rsidRPr="00000000">
              <w:rPr>
                <w:b w:val="1"/>
                <w:rtl w:val="0"/>
              </w:rPr>
              <w:t xml:space="preserve">Link: </w:t>
            </w:r>
          </w:p>
        </w:tc>
        <w:tc>
          <w:tcPr>
            <w:gridSpan w:val="2"/>
          </w:tcPr>
          <w:p w:rsidR="00000000" w:rsidDel="00000000" w:rsidP="00000000" w:rsidRDefault="00000000" w:rsidRPr="00000000" w14:paraId="0000007E">
            <w:pPr>
              <w:rPr/>
            </w:pPr>
            <w:hyperlink r:id="rId9">
              <w:r w:rsidDel="00000000" w:rsidR="00000000" w:rsidRPr="00000000">
                <w:rPr>
                  <w:color w:val="1155cc"/>
                  <w:u w:val="single"/>
                  <w:rtl w:val="0"/>
                </w:rPr>
                <w:t xml:space="preserve">Application</w:t>
              </w:r>
            </w:hyperlink>
            <w:r w:rsidDel="00000000" w:rsidR="00000000" w:rsidRPr="00000000">
              <w:rPr>
                <w:rtl w:val="0"/>
              </w:rPr>
              <w:t xml:space="preserve"> </w:t>
            </w:r>
          </w:p>
          <w:p w:rsidR="00000000" w:rsidDel="00000000" w:rsidP="00000000" w:rsidRDefault="00000000" w:rsidRPr="00000000" w14:paraId="0000007F">
            <w:pPr>
              <w:rPr/>
            </w:pPr>
            <w:hyperlink r:id="rId10">
              <w:r w:rsidDel="00000000" w:rsidR="00000000" w:rsidRPr="00000000">
                <w:rPr>
                  <w:color w:val="1155cc"/>
                  <w:u w:val="single"/>
                  <w:rtl w:val="0"/>
                </w:rPr>
                <w:t xml:space="preserve">Sito web</w:t>
              </w:r>
            </w:hyperlink>
            <w:r w:rsidDel="00000000" w:rsidR="00000000" w:rsidRPr="00000000">
              <w:rPr>
                <w:rtl w:val="0"/>
              </w:rPr>
            </w:r>
          </w:p>
          <w:p w:rsidR="00000000" w:rsidDel="00000000" w:rsidP="00000000" w:rsidRDefault="00000000" w:rsidRPr="00000000" w14:paraId="00000080">
            <w:pPr>
              <w:rPr/>
            </w:pPr>
            <w:hyperlink r:id="rId11">
              <w:r w:rsidDel="00000000" w:rsidR="00000000" w:rsidRPr="00000000">
                <w:rPr>
                  <w:color w:val="1155cc"/>
                  <w:u w:val="single"/>
                  <w:rtl w:val="0"/>
                </w:rPr>
                <w:t xml:space="preserve">Bando</w:t>
              </w:r>
            </w:hyperlink>
            <w:r w:rsidDel="00000000" w:rsidR="00000000" w:rsidRPr="00000000">
              <w:rPr>
                <w:rtl w:val="0"/>
              </w:rPr>
            </w:r>
          </w:p>
        </w:tc>
      </w:tr>
      <w:tr>
        <w:trPr>
          <w:cantSplit w:val="0"/>
          <w:tblHeader w:val="0"/>
        </w:trPr>
        <w:tc>
          <w:tcPr>
            <w:gridSpan w:val="3"/>
          </w:tcPr>
          <w:p w:rsidR="00000000" w:rsidDel="00000000" w:rsidP="00000000" w:rsidRDefault="00000000" w:rsidRPr="00000000" w14:paraId="00000082">
            <w:pPr>
              <w:rPr>
                <w:b w:val="1"/>
                <w:sz w:val="18"/>
                <w:szCs w:val="18"/>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85">
            <w:pPr>
              <w:spacing w:after="240" w:lineRule="auto"/>
              <w:rPr>
                <w:b w:val="1"/>
              </w:rPr>
            </w:pPr>
            <w:r w:rsidDel="00000000" w:rsidR="00000000" w:rsidRPr="00000000">
              <w:rPr>
                <w:b w:val="1"/>
                <w:rtl w:val="0"/>
              </w:rPr>
              <w:t xml:space="preserve">Scadenza domanda:</w:t>
            </w:r>
          </w:p>
        </w:tc>
        <w:tc>
          <w:tcPr>
            <w:gridSpan w:val="2"/>
            <w:shd w:fill="fff2cc" w:val="clear"/>
          </w:tcPr>
          <w:p w:rsidR="00000000" w:rsidDel="00000000" w:rsidP="00000000" w:rsidRDefault="00000000" w:rsidRPr="00000000" w14:paraId="00000086">
            <w:pPr>
              <w:spacing w:after="240" w:lineRule="auto"/>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16 SETTEMBRE 2025 17:00</w:t>
            </w:r>
          </w:p>
        </w:tc>
      </w:tr>
      <w:tr>
        <w:trPr>
          <w:cantSplit w:val="0"/>
          <w:tblHeader w:val="0"/>
        </w:trPr>
        <w:tc>
          <w:tcPr>
            <w:shd w:fill="fff2cc" w:val="clear"/>
          </w:tcPr>
          <w:p w:rsidR="00000000" w:rsidDel="00000000" w:rsidP="00000000" w:rsidRDefault="00000000" w:rsidRPr="00000000" w14:paraId="00000088">
            <w:pPr>
              <w:spacing w:after="240" w:lineRule="auto"/>
              <w:rPr>
                <w:b w:val="1"/>
              </w:rPr>
            </w:pPr>
            <w:r w:rsidDel="00000000" w:rsidR="00000000" w:rsidRPr="00000000">
              <w:rPr>
                <w:b w:val="1"/>
                <w:rtl w:val="0"/>
              </w:rPr>
              <w:t xml:space="preserve">Finanziamento (Max/Min/Co-fin):</w:t>
            </w:r>
          </w:p>
        </w:tc>
        <w:tc>
          <w:tcPr>
            <w:gridSpan w:val="2"/>
            <w:shd w:fill="fff2cc" w:val="clear"/>
          </w:tcPr>
          <w:p w:rsidR="00000000" w:rsidDel="00000000" w:rsidP="00000000" w:rsidRDefault="00000000" w:rsidRPr="00000000" w14:paraId="00000089">
            <w:pPr>
              <w:spacing w:after="240" w:lineRule="auto"/>
              <w:jc w:val="both"/>
              <w:rPr/>
            </w:pPr>
            <w:r w:rsidDel="00000000" w:rsidR="00000000" w:rsidRPr="00000000">
              <w:rPr>
                <w:b w:val="1"/>
                <w:rtl w:val="0"/>
              </w:rPr>
              <w:t xml:space="preserve">Budget complessivo</w:t>
            </w:r>
            <w:r w:rsidDel="00000000" w:rsidR="00000000" w:rsidRPr="00000000">
              <w:rPr>
                <w:rtl w:val="0"/>
              </w:rPr>
              <w:t xml:space="preserve">: 34 Milioni</w:t>
            </w:r>
          </w:p>
          <w:p w:rsidR="00000000" w:rsidDel="00000000" w:rsidP="00000000" w:rsidRDefault="00000000" w:rsidRPr="00000000" w14:paraId="0000008A">
            <w:pPr>
              <w:spacing w:after="240" w:lineRule="auto"/>
              <w:jc w:val="both"/>
              <w:rPr/>
            </w:pPr>
            <w:r w:rsidDel="00000000" w:rsidR="00000000" w:rsidRPr="00000000">
              <w:rPr>
                <w:rtl w:val="0"/>
              </w:rPr>
              <w:t xml:space="preserve">L’importo delle richieste di finanziamento varia a seconda del topic: </w:t>
            </w:r>
          </w:p>
          <w:p w:rsidR="00000000" w:rsidDel="00000000" w:rsidP="00000000" w:rsidRDefault="00000000" w:rsidRPr="00000000" w14:paraId="0000008B">
            <w:pPr>
              <w:numPr>
                <w:ilvl w:val="0"/>
                <w:numId w:val="5"/>
              </w:numPr>
              <w:ind w:left="720" w:hanging="360"/>
              <w:jc w:val="both"/>
              <w:rPr/>
            </w:pPr>
            <w:r w:rsidDel="00000000" w:rsidR="00000000" w:rsidRPr="00000000">
              <w:rPr>
                <w:rtl w:val="0"/>
              </w:rPr>
              <w:t xml:space="preserve">min. 1.500.000 max. 3.000.000€ per topic 1 </w:t>
            </w:r>
          </w:p>
          <w:p w:rsidR="00000000" w:rsidDel="00000000" w:rsidP="00000000" w:rsidRDefault="00000000" w:rsidRPr="00000000" w14:paraId="0000008C">
            <w:pPr>
              <w:numPr>
                <w:ilvl w:val="0"/>
                <w:numId w:val="5"/>
              </w:numPr>
              <w:ind w:left="720" w:hanging="360"/>
              <w:jc w:val="both"/>
            </w:pPr>
            <w:r w:rsidDel="00000000" w:rsidR="00000000" w:rsidRPr="00000000">
              <w:rPr>
                <w:rtl w:val="0"/>
              </w:rPr>
              <w:t xml:space="preserve">min. 1.500.000 max. 3.000.000€ per topic 2</w:t>
            </w:r>
          </w:p>
          <w:p w:rsidR="00000000" w:rsidDel="00000000" w:rsidP="00000000" w:rsidRDefault="00000000" w:rsidRPr="00000000" w14:paraId="0000008D">
            <w:pPr>
              <w:numPr>
                <w:ilvl w:val="0"/>
                <w:numId w:val="5"/>
              </w:numPr>
              <w:ind w:left="720" w:hanging="360"/>
              <w:jc w:val="both"/>
            </w:pPr>
            <w:r w:rsidDel="00000000" w:rsidR="00000000" w:rsidRPr="00000000">
              <w:rPr>
                <w:rtl w:val="0"/>
              </w:rPr>
              <w:t xml:space="preserve">min. 1.000.000 max. 2.000.000€ per topic 3</w:t>
            </w:r>
          </w:p>
          <w:p w:rsidR="00000000" w:rsidDel="00000000" w:rsidP="00000000" w:rsidRDefault="00000000" w:rsidRPr="00000000" w14:paraId="0000008E">
            <w:pPr>
              <w:numPr>
                <w:ilvl w:val="0"/>
                <w:numId w:val="5"/>
              </w:numPr>
              <w:ind w:left="720" w:hanging="360"/>
              <w:jc w:val="both"/>
            </w:pPr>
            <w:r w:rsidDel="00000000" w:rsidR="00000000" w:rsidRPr="00000000">
              <w:rPr>
                <w:rtl w:val="0"/>
              </w:rPr>
              <w:t xml:space="preserve">min. 1.000.000 max. 2.000.000€ per topic 4</w:t>
            </w:r>
          </w:p>
          <w:p w:rsidR="00000000" w:rsidDel="00000000" w:rsidP="00000000" w:rsidRDefault="00000000" w:rsidRPr="00000000" w14:paraId="0000008F">
            <w:pPr>
              <w:numPr>
                <w:ilvl w:val="0"/>
                <w:numId w:val="5"/>
              </w:numPr>
              <w:ind w:left="720" w:hanging="360"/>
              <w:jc w:val="both"/>
            </w:pPr>
            <w:r w:rsidDel="00000000" w:rsidR="00000000" w:rsidRPr="00000000">
              <w:rPr>
                <w:rtl w:val="0"/>
              </w:rPr>
              <w:t xml:space="preserve">min. 400.000 max. 3.000.000€ per topic 5</w:t>
            </w:r>
          </w:p>
        </w:tc>
      </w:tr>
      <w:tr>
        <w:trPr>
          <w:cantSplit w:val="0"/>
          <w:tblHeader w:val="0"/>
        </w:trPr>
        <w:tc>
          <w:tcPr>
            <w:gridSpan w:val="3"/>
            <w:shd w:fill="fbe5d5" w:val="clear"/>
          </w:tcPr>
          <w:p w:rsidR="00000000" w:rsidDel="00000000" w:rsidP="00000000" w:rsidRDefault="00000000" w:rsidRPr="00000000" w14:paraId="00000091">
            <w:pPr>
              <w:spacing w:after="120" w:before="120" w:lineRule="auto"/>
              <w:jc w:val="center"/>
              <w:rPr>
                <w:b w:val="1"/>
              </w:rPr>
            </w:pPr>
            <w:r w:rsidDel="00000000" w:rsidR="00000000" w:rsidRPr="00000000">
              <w:rPr>
                <w:b w:val="1"/>
                <w:rtl w:val="0"/>
              </w:rPr>
              <w:t xml:space="preserve">VALUTAZIONE AD OPERA DELL’UFFICIO RICERCA</w:t>
            </w:r>
          </w:p>
        </w:tc>
      </w:tr>
      <w:tr>
        <w:trPr>
          <w:cantSplit w:val="0"/>
          <w:tblHeader w:val="0"/>
        </w:trPr>
        <w:tc>
          <w:tcPr>
            <w:tcBorders>
              <w:bottom w:color="000000" w:space="0" w:sz="12" w:val="single"/>
            </w:tcBorders>
            <w:shd w:fill="f2f2f2" w:val="clear"/>
          </w:tcPr>
          <w:p w:rsidR="00000000" w:rsidDel="00000000" w:rsidP="00000000" w:rsidRDefault="00000000" w:rsidRPr="00000000" w14:paraId="00000094">
            <w:pPr>
              <w:spacing w:after="240" w:lineRule="auto"/>
              <w:rPr>
                <w:b w:val="1"/>
              </w:rPr>
            </w:pPr>
            <w:r w:rsidDel="00000000" w:rsidR="00000000" w:rsidRPr="00000000">
              <w:rPr>
                <w:b w:val="1"/>
                <w:rtl w:val="0"/>
              </w:rPr>
              <w:t xml:space="preserve">Costi ammissibili:</w:t>
            </w:r>
          </w:p>
        </w:tc>
        <w:tc>
          <w:tcPr>
            <w:gridSpan w:val="2"/>
            <w:tcBorders>
              <w:bottom w:color="000000" w:space="0" w:sz="12" w:val="single"/>
            </w:tcBorders>
          </w:tcPr>
          <w:p w:rsidR="00000000" w:rsidDel="00000000" w:rsidP="00000000" w:rsidRDefault="00000000" w:rsidRPr="00000000" w14:paraId="00000095">
            <w:pPr>
              <w:numPr>
                <w:ilvl w:val="0"/>
                <w:numId w:val="1"/>
              </w:numPr>
              <w:shd w:fill="ffffff" w:val="clear"/>
              <w:spacing w:after="0" w:afterAutospacing="0" w:before="160" w:line="330" w:lineRule="auto"/>
              <w:ind w:left="720" w:hanging="360"/>
              <w:jc w:val="both"/>
              <w:rPr/>
            </w:pPr>
            <w:r w:rsidDel="00000000" w:rsidR="00000000" w:rsidRPr="00000000">
              <w:rPr>
                <w:rtl w:val="0"/>
              </w:rPr>
              <w:t xml:space="preserve">Costi del personale</w:t>
            </w:r>
          </w:p>
          <w:p w:rsidR="00000000" w:rsidDel="00000000" w:rsidP="00000000" w:rsidRDefault="00000000" w:rsidRPr="00000000" w14:paraId="00000096">
            <w:pPr>
              <w:numPr>
                <w:ilvl w:val="0"/>
                <w:numId w:val="1"/>
              </w:numPr>
              <w:shd w:fill="ffffff" w:val="clear"/>
              <w:spacing w:after="0" w:afterAutospacing="0" w:before="0" w:beforeAutospacing="0" w:line="330" w:lineRule="auto"/>
              <w:ind w:left="720" w:hanging="360"/>
              <w:jc w:val="both"/>
              <w:rPr/>
            </w:pPr>
            <w:r w:rsidDel="00000000" w:rsidR="00000000" w:rsidRPr="00000000">
              <w:rPr>
                <w:rtl w:val="0"/>
              </w:rPr>
              <w:t xml:space="preserve">Costi di subappalto</w:t>
            </w:r>
          </w:p>
          <w:p w:rsidR="00000000" w:rsidDel="00000000" w:rsidP="00000000" w:rsidRDefault="00000000" w:rsidRPr="00000000" w14:paraId="00000097">
            <w:pPr>
              <w:numPr>
                <w:ilvl w:val="0"/>
                <w:numId w:val="1"/>
              </w:numPr>
              <w:shd w:fill="ffffff" w:val="clear"/>
              <w:spacing w:after="0" w:afterAutospacing="0" w:before="0" w:beforeAutospacing="0" w:line="330" w:lineRule="auto"/>
              <w:ind w:left="720" w:hanging="360"/>
              <w:jc w:val="both"/>
              <w:rPr/>
            </w:pPr>
            <w:r w:rsidDel="00000000" w:rsidR="00000000" w:rsidRPr="00000000">
              <w:rPr>
                <w:rtl w:val="0"/>
              </w:rPr>
              <w:t xml:space="preserve">Costi di acquisto</w:t>
            </w:r>
          </w:p>
          <w:p w:rsidR="00000000" w:rsidDel="00000000" w:rsidP="00000000" w:rsidRDefault="00000000" w:rsidRPr="00000000" w14:paraId="00000098">
            <w:pPr>
              <w:numPr>
                <w:ilvl w:val="0"/>
                <w:numId w:val="1"/>
              </w:numPr>
              <w:shd w:fill="ffffff" w:val="clear"/>
              <w:spacing w:after="0" w:afterAutospacing="0" w:before="0" w:beforeAutospacing="0" w:line="330" w:lineRule="auto"/>
              <w:ind w:left="720" w:hanging="360"/>
              <w:jc w:val="both"/>
              <w:rPr/>
            </w:pPr>
            <w:r w:rsidDel="00000000" w:rsidR="00000000" w:rsidRPr="00000000">
              <w:rPr>
                <w:rtl w:val="0"/>
              </w:rPr>
              <w:t xml:space="preserve">Altre categorie di costo</w:t>
            </w:r>
          </w:p>
          <w:p w:rsidR="00000000" w:rsidDel="00000000" w:rsidP="00000000" w:rsidRDefault="00000000" w:rsidRPr="00000000" w14:paraId="00000099">
            <w:pPr>
              <w:numPr>
                <w:ilvl w:val="0"/>
                <w:numId w:val="1"/>
              </w:numPr>
              <w:shd w:fill="ffffff" w:val="clear"/>
              <w:spacing w:after="0" w:afterAutospacing="0" w:before="0" w:beforeAutospacing="0" w:line="330" w:lineRule="auto"/>
              <w:ind w:left="720" w:hanging="360"/>
              <w:jc w:val="both"/>
              <w:rPr/>
            </w:pPr>
            <w:r w:rsidDel="00000000" w:rsidR="00000000" w:rsidRPr="00000000">
              <w:rPr>
                <w:rtl w:val="0"/>
              </w:rPr>
              <w:t xml:space="preserve">Costi indiretti</w:t>
            </w:r>
          </w:p>
          <w:p w:rsidR="00000000" w:rsidDel="00000000" w:rsidP="00000000" w:rsidRDefault="00000000" w:rsidRPr="00000000" w14:paraId="0000009A">
            <w:pPr>
              <w:numPr>
                <w:ilvl w:val="0"/>
                <w:numId w:val="1"/>
              </w:numPr>
              <w:shd w:fill="ffffff" w:val="clear"/>
              <w:spacing w:after="0" w:afterAutospacing="0" w:before="0" w:beforeAutospacing="0" w:line="330" w:lineRule="auto"/>
              <w:ind w:left="720" w:hanging="360"/>
              <w:jc w:val="both"/>
              <w:rPr/>
            </w:pPr>
            <w:r w:rsidDel="00000000" w:rsidR="00000000" w:rsidRPr="00000000">
              <w:rPr>
                <w:rtl w:val="0"/>
              </w:rPr>
              <w:t xml:space="preserve">Condizioni specifiche di ammissibilità dei costi per questo bando:</w:t>
            </w:r>
          </w:p>
          <w:p w:rsidR="00000000" w:rsidDel="00000000" w:rsidP="00000000" w:rsidRDefault="00000000" w:rsidRPr="00000000" w14:paraId="0000009B">
            <w:pPr>
              <w:numPr>
                <w:ilvl w:val="1"/>
                <w:numId w:val="1"/>
              </w:numPr>
              <w:shd w:fill="ffffff" w:val="clear"/>
              <w:spacing w:after="0" w:afterAutospacing="0" w:before="0" w:beforeAutospacing="0" w:line="330" w:lineRule="auto"/>
              <w:ind w:left="1440" w:hanging="360"/>
              <w:jc w:val="both"/>
              <w:rPr/>
            </w:pPr>
            <w:r w:rsidDel="00000000" w:rsidR="00000000" w:rsidRPr="00000000">
              <w:rPr>
                <w:rtl w:val="0"/>
              </w:rPr>
              <w:t xml:space="preserve">Costi del personale:</w:t>
            </w:r>
          </w:p>
          <w:p w:rsidR="00000000" w:rsidDel="00000000" w:rsidP="00000000" w:rsidRDefault="00000000" w:rsidRPr="00000000" w14:paraId="0000009C">
            <w:pPr>
              <w:numPr>
                <w:ilvl w:val="2"/>
                <w:numId w:val="1"/>
              </w:numPr>
              <w:shd w:fill="ffffff" w:val="clear"/>
              <w:spacing w:after="0" w:afterAutospacing="0" w:before="0" w:beforeAutospacing="0" w:line="330" w:lineRule="auto"/>
              <w:ind w:left="2160" w:hanging="360"/>
              <w:jc w:val="both"/>
              <w:rPr/>
            </w:pPr>
            <w:r w:rsidDel="00000000" w:rsidR="00000000" w:rsidRPr="00000000">
              <w:rPr>
                <w:rtl w:val="0"/>
              </w:rPr>
              <w:t xml:space="preserve">Costo unitario del titolare/persona fisica della PMI: Sì</w:t>
            </w:r>
          </w:p>
          <w:p w:rsidR="00000000" w:rsidDel="00000000" w:rsidP="00000000" w:rsidRDefault="00000000" w:rsidRPr="00000000" w14:paraId="0000009D">
            <w:pPr>
              <w:numPr>
                <w:ilvl w:val="2"/>
                <w:numId w:val="1"/>
              </w:numPr>
              <w:shd w:fill="ffffff" w:val="clear"/>
              <w:spacing w:after="0" w:afterAutospacing="0" w:before="0" w:beforeAutospacing="0" w:line="330" w:lineRule="auto"/>
              <w:ind w:left="2160" w:hanging="360"/>
              <w:jc w:val="both"/>
              <w:rPr/>
            </w:pPr>
            <w:r w:rsidDel="00000000" w:rsidR="00000000" w:rsidRPr="00000000">
              <w:rPr>
                <w:rtl w:val="0"/>
              </w:rPr>
              <w:t xml:space="preserve">Costo unitario dei volontari: Sì (senza costi indiretti)</w:t>
            </w:r>
          </w:p>
          <w:p w:rsidR="00000000" w:rsidDel="00000000" w:rsidP="00000000" w:rsidRDefault="00000000" w:rsidRPr="00000000" w14:paraId="0000009E">
            <w:pPr>
              <w:numPr>
                <w:ilvl w:val="1"/>
                <w:numId w:val="1"/>
              </w:numPr>
              <w:shd w:fill="ffffff" w:val="clear"/>
              <w:spacing w:after="0" w:afterAutospacing="0" w:before="0" w:beforeAutospacing="0" w:line="330" w:lineRule="auto"/>
              <w:ind w:left="1440" w:hanging="360"/>
              <w:jc w:val="both"/>
              <w:rPr/>
            </w:pPr>
            <w:r w:rsidDel="00000000" w:rsidR="00000000" w:rsidRPr="00000000">
              <w:rPr>
                <w:rtl w:val="0"/>
              </w:rPr>
              <w:t xml:space="preserve">Costo unitario di viaggio e soggiorno: Sì</w:t>
            </w:r>
          </w:p>
          <w:p w:rsidR="00000000" w:rsidDel="00000000" w:rsidP="00000000" w:rsidRDefault="00000000" w:rsidRPr="00000000" w14:paraId="0000009F">
            <w:pPr>
              <w:numPr>
                <w:ilvl w:val="1"/>
                <w:numId w:val="1"/>
              </w:numPr>
              <w:shd w:fill="ffffff" w:val="clear"/>
              <w:spacing w:after="0" w:afterAutospacing="0" w:before="0" w:beforeAutospacing="0" w:line="330" w:lineRule="auto"/>
              <w:ind w:left="1440" w:hanging="360"/>
              <w:jc w:val="both"/>
              <w:rPr/>
            </w:pPr>
            <w:r w:rsidDel="00000000" w:rsidR="00000000" w:rsidRPr="00000000">
              <w:rPr>
                <w:rtl w:val="0"/>
              </w:rPr>
              <w:t xml:space="preserve">Costi delle attrezzature: solo ammortamento</w:t>
            </w:r>
          </w:p>
          <w:p w:rsidR="00000000" w:rsidDel="00000000" w:rsidP="00000000" w:rsidRDefault="00000000" w:rsidRPr="00000000" w14:paraId="000000A0">
            <w:pPr>
              <w:numPr>
                <w:ilvl w:val="1"/>
                <w:numId w:val="1"/>
              </w:numPr>
              <w:shd w:fill="ffffff" w:val="clear"/>
              <w:spacing w:after="0" w:afterAutospacing="0" w:before="0" w:beforeAutospacing="0" w:line="330" w:lineRule="auto"/>
              <w:ind w:left="1440" w:hanging="360"/>
              <w:jc w:val="both"/>
              <w:rPr/>
            </w:pPr>
            <w:r w:rsidDel="00000000" w:rsidR="00000000" w:rsidRPr="00000000">
              <w:rPr>
                <w:rtl w:val="0"/>
              </w:rPr>
              <w:t xml:space="preserve">Costi per il supporto finanziario a terzi: non ammessi</w:t>
            </w:r>
          </w:p>
          <w:p w:rsidR="00000000" w:rsidDel="00000000" w:rsidP="00000000" w:rsidRDefault="00000000" w:rsidRPr="00000000" w14:paraId="000000A1">
            <w:pPr>
              <w:numPr>
                <w:ilvl w:val="1"/>
                <w:numId w:val="1"/>
              </w:numPr>
              <w:shd w:fill="ffffff" w:val="clear"/>
              <w:spacing w:after="0" w:afterAutospacing="0" w:before="0" w:beforeAutospacing="0" w:line="330" w:lineRule="auto"/>
              <w:ind w:left="1440" w:hanging="360"/>
              <w:jc w:val="both"/>
              <w:rPr/>
            </w:pPr>
            <w:r w:rsidDel="00000000" w:rsidR="00000000" w:rsidRPr="00000000">
              <w:rPr>
                <w:rtl w:val="0"/>
              </w:rPr>
              <w:t xml:space="preserve">Costo forfettario dei costi indiretti: 7% dei costi diretti ammissibili (categorie da A a D, ad eccezione dei costi dei volontari e delle categorie di costo specifiche esentate, se presenti)</w:t>
            </w:r>
          </w:p>
          <w:p w:rsidR="00000000" w:rsidDel="00000000" w:rsidP="00000000" w:rsidRDefault="00000000" w:rsidRPr="00000000" w14:paraId="000000A2">
            <w:pPr>
              <w:numPr>
                <w:ilvl w:val="1"/>
                <w:numId w:val="1"/>
              </w:numPr>
              <w:shd w:fill="ffffff" w:val="clear"/>
              <w:spacing w:after="0" w:afterAutospacing="0" w:before="0" w:beforeAutospacing="0" w:line="330" w:lineRule="auto"/>
              <w:ind w:left="1440" w:hanging="360"/>
              <w:jc w:val="both"/>
              <w:rPr/>
            </w:pPr>
            <w:r w:rsidDel="00000000" w:rsidR="00000000" w:rsidRPr="00000000">
              <w:rPr>
                <w:rtl w:val="0"/>
              </w:rPr>
              <w:t xml:space="preserve">IVA: l'IVA non detraibile è ammissibile (si noti tuttavia che dal 2013 l'IVA versata dai beneficiari che sono enti pubblici che agiscono in qualità di autorità pubblica NON è ammissibile)</w:t>
            </w:r>
          </w:p>
          <w:p w:rsidR="00000000" w:rsidDel="00000000" w:rsidP="00000000" w:rsidRDefault="00000000" w:rsidRPr="00000000" w14:paraId="000000A3">
            <w:pPr>
              <w:numPr>
                <w:ilvl w:val="0"/>
                <w:numId w:val="1"/>
              </w:numPr>
              <w:shd w:fill="ffffff" w:val="clear"/>
              <w:spacing w:after="0" w:afterAutospacing="0" w:before="0" w:beforeAutospacing="0" w:line="330" w:lineRule="auto"/>
              <w:ind w:left="720" w:hanging="360"/>
              <w:jc w:val="both"/>
              <w:rPr/>
            </w:pPr>
            <w:r w:rsidDel="00000000" w:rsidR="00000000" w:rsidRPr="00000000">
              <w:rPr>
                <w:rtl w:val="0"/>
              </w:rPr>
              <w:t xml:space="preserve">Divers:</w:t>
            </w:r>
          </w:p>
          <w:p w:rsidR="00000000" w:rsidDel="00000000" w:rsidP="00000000" w:rsidRDefault="00000000" w:rsidRPr="00000000" w14:paraId="000000A4">
            <w:pPr>
              <w:numPr>
                <w:ilvl w:val="1"/>
                <w:numId w:val="1"/>
              </w:numPr>
              <w:shd w:fill="ffffff" w:val="clear"/>
              <w:spacing w:after="300" w:before="0" w:beforeAutospacing="0" w:line="330" w:lineRule="auto"/>
              <w:ind w:left="1440" w:hanging="360"/>
              <w:jc w:val="both"/>
              <w:rPr/>
            </w:pPr>
            <w:r w:rsidDel="00000000" w:rsidR="00000000" w:rsidRPr="00000000">
              <w:rPr>
                <w:rtl w:val="0"/>
              </w:rPr>
              <w:t xml:space="preserve">I contributi in natura gratuiti sono ammessi, ma a costo zero, ovvero non possono essere dichiarati come costo</w:t>
            </w:r>
          </w:p>
        </w:tc>
      </w:tr>
      <w:tr>
        <w:trPr>
          <w:cantSplit w:val="0"/>
          <w:tblHeader w:val="0"/>
        </w:trPr>
        <w:tc>
          <w:tcPr>
            <w:tcBorders>
              <w:bottom w:color="000000" w:space="0" w:sz="12" w:val="single"/>
            </w:tcBorders>
            <w:shd w:fill="f2f2f2" w:val="clear"/>
          </w:tcPr>
          <w:p w:rsidR="00000000" w:rsidDel="00000000" w:rsidP="00000000" w:rsidRDefault="00000000" w:rsidRPr="00000000" w14:paraId="000000A6">
            <w:pPr>
              <w:spacing w:after="240" w:lineRule="auto"/>
              <w:rPr>
                <w:b w:val="1"/>
              </w:rPr>
            </w:pPr>
            <w:r w:rsidDel="00000000" w:rsidR="00000000" w:rsidRPr="00000000">
              <w:rPr>
                <w:b w:val="1"/>
                <w:rtl w:val="0"/>
              </w:rPr>
              <w:t xml:space="preserve">Note e considerazioni:</w:t>
            </w:r>
          </w:p>
        </w:tc>
        <w:tc>
          <w:tcPr>
            <w:gridSpan w:val="2"/>
            <w:tcBorders>
              <w:bottom w:color="000000" w:space="0" w:sz="12" w:val="single"/>
            </w:tcBorders>
          </w:tcPr>
          <w:p w:rsidR="00000000" w:rsidDel="00000000" w:rsidP="00000000" w:rsidRDefault="00000000" w:rsidRPr="00000000" w14:paraId="000000A7">
            <w:pPr>
              <w:spacing w:after="240" w:lineRule="auto"/>
              <w:rPr>
                <w:b w:val="1"/>
              </w:rPr>
            </w:pP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A9">
            <w:pPr>
              <w:spacing w:after="120" w:before="240" w:lineRule="auto"/>
              <w:ind w:left="720" w:firstLine="0"/>
              <w:rPr>
                <w:b w:val="1"/>
              </w:rPr>
            </w:pPr>
            <w:r w:rsidDel="00000000" w:rsidR="00000000" w:rsidRPr="00000000">
              <w:rPr>
                <w:b w:val="1"/>
                <w:rtl w:val="0"/>
              </w:rPr>
              <w:t xml:space="preserve">Livello di interesse:</w:t>
            </w:r>
          </w:p>
          <w:p w:rsidR="00000000" w:rsidDel="00000000" w:rsidP="00000000" w:rsidRDefault="00000000" w:rsidRPr="00000000" w14:paraId="000000AA">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Alto</w:t>
            </w:r>
          </w:p>
          <w:p w:rsidR="00000000" w:rsidDel="00000000" w:rsidP="00000000" w:rsidRDefault="00000000" w:rsidRPr="00000000" w14:paraId="000000AB">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Medio </w:t>
            </w:r>
          </w:p>
          <w:p w:rsidR="00000000" w:rsidDel="00000000" w:rsidP="00000000" w:rsidRDefault="00000000" w:rsidRPr="00000000" w14:paraId="000000AC">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Basso</w:t>
            </w:r>
          </w:p>
        </w:tc>
        <w:tc>
          <w:tcPr>
            <w:tcBorders>
              <w:top w:color="000000" w:space="0" w:sz="12" w:val="single"/>
              <w:bottom w:color="000000" w:space="0" w:sz="12" w:val="single"/>
              <w:right w:color="000000" w:space="0" w:sz="12" w:val="single"/>
            </w:tcBorders>
            <w:shd w:fill="auto" w:val="clear"/>
          </w:tcPr>
          <w:p w:rsidR="00000000" w:rsidDel="00000000" w:rsidP="00000000" w:rsidRDefault="00000000" w:rsidRPr="00000000" w14:paraId="000000AE">
            <w:pPr>
              <w:spacing w:after="120" w:before="240" w:lineRule="auto"/>
              <w:ind w:left="720" w:firstLine="0"/>
              <w:rPr>
                <w:b w:val="1"/>
              </w:rPr>
            </w:pPr>
            <w:r w:rsidDel="00000000" w:rsidR="00000000" w:rsidRPr="00000000">
              <w:rPr>
                <w:b w:val="1"/>
                <w:rtl w:val="0"/>
              </w:rPr>
              <w:t xml:space="preserve">Infografica: </w:t>
            </w:r>
          </w:p>
          <w:p w:rsidR="00000000" w:rsidDel="00000000" w:rsidP="00000000" w:rsidRDefault="00000000" w:rsidRPr="00000000" w14:paraId="000000AF">
            <w:pPr>
              <w:spacing w:after="120" w:lineRule="auto"/>
              <w:ind w:left="720" w:firstLine="0"/>
              <w:rPr>
                <w:b w:val="1"/>
              </w:rPr>
            </w:pPr>
            <w:r w:rsidDel="00000000" w:rsidR="00000000" w:rsidRPr="00000000">
              <w:rPr>
                <w:rFonts w:ascii="MS Gothic" w:cs="MS Gothic" w:eastAsia="MS Gothic" w:hAnsi="MS Gothic"/>
                <w:b w:val="1"/>
                <w:rtl w:val="0"/>
              </w:rPr>
              <w:t xml:space="preserve">X☐</w:t>
            </w:r>
            <w:r w:rsidDel="00000000" w:rsidR="00000000" w:rsidRPr="00000000">
              <w:rPr>
                <w:b w:val="1"/>
                <w:rtl w:val="0"/>
              </w:rPr>
              <w:t xml:space="preserve"> Sì </w:t>
            </w:r>
          </w:p>
          <w:p w:rsidR="00000000" w:rsidDel="00000000" w:rsidP="00000000" w:rsidRDefault="00000000" w:rsidRPr="00000000" w14:paraId="000000B0">
            <w:pPr>
              <w:spacing w:after="12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No </w:t>
            </w:r>
          </w:p>
          <w:p w:rsidR="00000000" w:rsidDel="00000000" w:rsidP="00000000" w:rsidRDefault="00000000" w:rsidRPr="00000000" w14:paraId="000000B1">
            <w:pPr>
              <w:spacing w:after="240" w:lineRule="auto"/>
              <w:ind w:left="720" w:firstLine="0"/>
              <w:rPr>
                <w:b w:val="1"/>
              </w:rPr>
            </w:pPr>
            <w:r w:rsidDel="00000000" w:rsidR="00000000" w:rsidRPr="00000000">
              <w:rPr>
                <w:rFonts w:ascii="MS Gothic" w:cs="MS Gothic" w:eastAsia="MS Gothic" w:hAnsi="MS Gothic"/>
                <w:b w:val="1"/>
                <w:rtl w:val="0"/>
              </w:rPr>
              <w:t xml:space="preserve">☐</w:t>
            </w:r>
            <w:r w:rsidDel="00000000" w:rsidR="00000000" w:rsidRPr="00000000">
              <w:rPr>
                <w:b w:val="1"/>
                <w:rtl w:val="0"/>
              </w:rPr>
              <w:t xml:space="preserve"> In attesa</w:t>
            </w:r>
          </w:p>
        </w:tc>
      </w:tr>
    </w:tbl>
    <w:p w:rsidR="00000000" w:rsidDel="00000000" w:rsidP="00000000" w:rsidRDefault="00000000" w:rsidRPr="00000000" w14:paraId="000000B2">
      <w:pPr>
        <w:rPr/>
      </w:pPr>
      <w:r w:rsidDel="00000000" w:rsidR="00000000" w:rsidRPr="00000000">
        <w:rPr>
          <w:rtl w:val="0"/>
        </w:rPr>
      </w:r>
    </w:p>
    <w:sectPr>
      <w:headerReference r:id="rId12" w:type="default"/>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819"/>
        <w:tab w:val="right" w:leader="none" w:pos="9638"/>
      </w:tabs>
      <w:jc w:val="right"/>
      <w:rPr>
        <w:b w:val="1"/>
        <w:color w:val="000000"/>
      </w:rPr>
    </w:pPr>
    <w:r w:rsidDel="00000000" w:rsidR="00000000" w:rsidRPr="00000000">
      <w:rPr>
        <w:b w:val="1"/>
        <w:color w:val="1f4e79"/>
        <w:sz w:val="36"/>
        <w:szCs w:val="36"/>
        <w:rtl w:val="0"/>
      </w:rPr>
      <w:t xml:space="preserve">SCOUTING DEI BANDI DI RICERCA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-122543</wp:posOffset>
          </wp:positionV>
          <wp:extent cx="1087120" cy="514350"/>
          <wp:effectExtent b="0" l="0" r="0" t="0"/>
          <wp:wrapNone/>
          <wp:docPr descr="Immagine che contiene testo, Carattere, logo, simbolo&#10;&#10;Descrizione generata automaticamente" id="10" name="image1.jpg"/>
          <a:graphic>
            <a:graphicData uri="http://schemas.openxmlformats.org/drawingml/2006/picture">
              <pic:pic>
                <pic:nvPicPr>
                  <pic:cNvPr descr="Immagine che contiene testo, Carattere, logo, simbolo&#10;&#10;Descrizione generata automaticamente" id="0" name="image1.jpg"/>
                  <pic:cNvPicPr preferRelativeResize="0"/>
                </pic:nvPicPr>
                <pic:blipFill>
                  <a:blip r:embed="rId1"/>
                  <a:srcRect b="0" l="0" r="0" t="0"/>
                  <a:stretch>
                    <a:fillRect/>
                  </a:stretch>
                </pic:blipFill>
                <pic:spPr>
                  <a:xfrm>
                    <a:off x="0" y="0"/>
                    <a:ext cx="1087120" cy="514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left w:w="108.0" w:type="dxa"/>
        <w:right w:w="108.0" w:type="dxa"/>
      </w:tblCellMar>
    </w:tblPr>
  </w:style>
  <w:style w:type="table" w:styleId="a1" w:customStyle="1">
    <w:basedOn w:val="TableNormal6"/>
    <w:tblPr>
      <w:tblStyleRowBandSize w:val="1"/>
      <w:tblStyleColBandSize w:val="1"/>
      <w:tblCellMar>
        <w:left w:w="108.0" w:type="dxa"/>
        <w:right w:w="108.0" w:type="dxa"/>
      </w:tblCellMar>
    </w:tblPr>
  </w:style>
  <w:style w:type="table" w:styleId="a2" w:customStyle="1">
    <w:basedOn w:val="TableNormal6"/>
    <w:tblPr>
      <w:tblStyleRowBandSize w:val="1"/>
      <w:tblStyleColBandSize w:val="1"/>
      <w:tblCellMar>
        <w:top w:w="100.0" w:type="dxa"/>
        <w:left w:w="100.0" w:type="dxa"/>
        <w:bottom w:w="100.0" w:type="dxa"/>
        <w:right w:w="100.0" w:type="dxa"/>
      </w:tblCellMar>
    </w:tblPr>
  </w:style>
  <w:style w:type="table" w:styleId="a3" w:customStyle="1">
    <w:basedOn w:val="TableNormal6"/>
    <w:tblPr>
      <w:tblStyleRowBandSize w:val="1"/>
      <w:tblStyleColBandSize w:val="1"/>
      <w:tblCellMar>
        <w:left w:w="108.0" w:type="dxa"/>
        <w:right w:w="108.0" w:type="dxa"/>
      </w:tblCellMar>
    </w:tblPr>
  </w:style>
  <w:style w:type="table" w:styleId="a4" w:customStyle="1">
    <w:basedOn w:val="TableNormal6"/>
    <w:tblPr>
      <w:tblStyleRowBandSize w:val="1"/>
      <w:tblStyleColBandSize w:val="1"/>
      <w:tblCellMar>
        <w:top w:w="100.0" w:type="dxa"/>
        <w:left w:w="100.0" w:type="dxa"/>
        <w:bottom w:w="100.0" w:type="dxa"/>
        <w:right w:w="100.0" w:type="dxa"/>
      </w:tblCellMar>
    </w:tblPr>
  </w:style>
  <w:style w:type="table" w:styleId="a5" w:customStyle="1">
    <w:basedOn w:val="TableNormal6"/>
    <w:tblPr>
      <w:tblStyleRowBandSize w:val="1"/>
      <w:tblStyleColBandSize w:val="1"/>
      <w:tblCellMar>
        <w:top w:w="100.0" w:type="dxa"/>
        <w:left w:w="100.0" w:type="dxa"/>
        <w:bottom w:w="100.0" w:type="dxa"/>
        <w:right w:w="100.0" w:type="dxa"/>
      </w:tblCellMar>
    </w:tblPr>
  </w:style>
  <w:style w:type="table" w:styleId="a6" w:customStyle="1">
    <w:basedOn w:val="TableNormal4"/>
    <w:tblPr>
      <w:tblStyleRowBandSize w:val="1"/>
      <w:tblStyleColBandSize w:val="1"/>
      <w:tblCellMar>
        <w:left w:w="108.0" w:type="dxa"/>
        <w:right w:w="108.0" w:type="dxa"/>
      </w:tblCellMar>
    </w:tbl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table" w:styleId="a8" w:customStyle="1">
    <w:basedOn w:val="TableNormal4"/>
    <w:tblPr>
      <w:tblStyleRowBandSize w:val="1"/>
      <w:tblStyleColBandSize w:val="1"/>
      <w:tblCellMar>
        <w:left w:w="108.0" w:type="dxa"/>
        <w:right w:w="108.0" w:type="dxa"/>
      </w:tblCellMar>
    </w:tblPr>
  </w:style>
  <w:style w:type="table" w:styleId="a9" w:customStyle="1">
    <w:basedOn w:val="TableNormal4"/>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left w:w="108.0" w:type="dxa"/>
        <w:right w:w="108.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left w:w="108.0" w:type="dxa"/>
        <w:right w:w="108.0" w:type="dxa"/>
      </w:tblCellMar>
    </w:tblPr>
  </w:style>
  <w:style w:type="table" w:styleId="ad" w:customStyle="1">
    <w:basedOn w:val="TableNormal2"/>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ail-attachment.googleusercontent.com/attachment/u/0/?ui=2&amp;ik=ba636301e3&amp;attid=0.1&amp;permmsgid=msg-f:1835076610236376600&amp;th=1977807450c46618&amp;view=att&amp;disp=inline&amp;realattid=f_mbyvrg8u0&amp;zw&amp;saddbat=ANGjdJ-qcUgZO0iWbASknHKLKOdaYmO5iQu82PhPONezRrS81T4PFvqObu1D_oRZF2Nf3Yw-TjQ8s81OxDH3wTW0NxDmkyLjXZ7-iX_q5IiNcNdtE8re_kfu8fXHlOTOoAikDsB4PjfYQktPDgA-aknnYp5gRNBrcDmAZEUCEaeqeXFZpk1h8KpTzWxLCBfqZ2r9UfhZcOwoStyucCSNaCiTPO36nm13dX0wSrh6jFqjq5v7o22bUXsa6peepflcHuu9qL0dt9bio9GqWlnB9tH5flBVJc-00JvcnTCpg4uQnL67JNF2Dg1bjAFoWoa4NFotJSDZXpsU5e79oAJiU2lPDK_fPLbrxdllFAVTjOGOlWT45TE7GFsYQgmMuT6-XdqZEyWDwvGrkArnWg9MioZyq2KlLzScY1apcSMpT7ZztPEj_f4fA8ZoExCkyMeHDqJJPOlA2levX5p3R09YNWg_IV9H1Lobk-TycTKcyYULqFgVK6KxncFJtjbldLmyIf0EilfEPnMb1Q1FCYL8fiCgkG9bf_p43DoPjd88ZqfVt7M2__DxLp6bjZqbIjiDg2dAPUkEsMfPkbrdqX4TY4euGqSanr8FOK_NejJ4ixdNRzVlZZsXs_bnY8Osg0borxAWujohCoT3vnvBxmtbdbhN0Y-3qo4KGM-PpeLjNXnO5YeFbGX07CgfxXtPh3rx16P5VDoB86IBn2-csonb3KfgzA8gDDKvFWJeQGRdjTfgoWvV2ZUrtDjbIghtfzTveGjUka6O16AsOKKONgAb4AU2ck-ConRO-XgTdKF3DiWL11NVCDIz9mhl5POp5L6S9pKlb_HzGgZyFk3WhYaNXlIZvxLPzIUBBzNdvfePOEbSa5G2zb6dlDoUS1KkIrJBJIl0uUiIVGlaS1_Oq9o5uCpdr1ZiCRgb8xp-EWWorRJL5W78dOwhMLNXzDSC2xB_qOAztY9abfIMPVwOHb6qMw6cVVAZ89u8au6YtvfIK3XuW-PMjWiMMJZDxzsBrfT0yludueqVf722XXL99Jkf" TargetMode="External"/><Relationship Id="rId10" Type="http://schemas.openxmlformats.org/officeDocument/2006/relationships/hyperlink" Target="https://ec.europa.eu/info/funding-tenders/opportunities/portal/screen/opportunities/topic-details/AMIF-2025-TF2-AG-INTE-01-WOMEN?isExactMatch=true&amp;status=31094501,31094502,31094503&amp;callIdentifier=AMIF-2025-TF2-AG-INTE&amp;order=DESC&amp;pageNumber=1&amp;pageSize=50&amp;sortBy=startDat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as.ec.europa.eu/cas/login?domain=external&amp;loginRequestId=ECAS_LR-20535782-cSPrzG87H7RF21OZyxCpWSxNw5HixzKXOhzrPzpIERamMoTYXaLNSSM0AuBh4jhEoMhT9HAYHx6ziBJ0dibcTCP-rS0vSrmBGYCCabaB1hZuhe-VDSzIZnwrrSoYBNr844AzWNjTLEfvLvda7GcOqQl5vZjA0K16w79lxWZP9XWXonhRHRlJSdzhx5FYTKCEj0PWj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europa.eu/info/funding-tenders/opportunities/portal/screen/opportunities/topic-details/AMIF-2025-TF2-AG-INTE-01-WOMEN?isExactMatch=true&amp;status=31094501,31094502,31094503&amp;callIdentifier=AMIF-2025-TF2-AG-INTE&amp;order=DESC&amp;pageNumber=1&amp;pageSize=50&amp;sortBy=startDate" TargetMode="External"/><Relationship Id="rId8" Type="http://schemas.openxmlformats.org/officeDocument/2006/relationships/hyperlink" Target="https://ec.europa.eu/info/funding-tenders/opportunities/portal/screen/opportunities/topic-details/AMIF-2025-TF2-AG-INTE-01-WOMEN?isExactMatch=true&amp;status=31094501,31094502,31094503&amp;callIdentifier=AMIF-2025-TF2-AG-INTE&amp;order=DESC&amp;pageNumber=1&amp;pageSize=50&amp;sortBy=start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zY25TTGCWXrJg+dWmOCCJrESQ==">CgMxLjA4AHIhMWJZdlNyUjFSTmRNb2JDWlBTSFhPRmFzczdFM0VEak9z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2025-05-28T13:17:00Z</dcterms:created>
</cp:coreProperties>
</file>