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1961"/>
        <w:gridCol w:w="4508"/>
        <w:tblGridChange w:id="0">
          <w:tblGrid>
            <w:gridCol w:w="2547"/>
            <w:gridCol w:w="1961"/>
            <w:gridCol w:w="4508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02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 SCOUTING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5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Periodo di scouting: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color w:val="212529"/>
                <w:highlight w:val="white"/>
                <w:rtl w:val="0"/>
              </w:rPr>
              <w:t xml:space="preserve">16/06/2025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Fonte: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https://www.fondazionetim.it/bandi/bando-salute-2025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DESCRIZIONE BANDO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Ente proponente: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240" w:lineRule="auto"/>
              <w:rPr/>
            </w:pPr>
            <w:r w:rsidDel="00000000" w:rsidR="00000000" w:rsidRPr="00000000">
              <w:rPr>
                <w:color w:val="212529"/>
                <w:highlight w:val="white"/>
                <w:rtl w:val="0"/>
              </w:rPr>
              <w:t xml:space="preserve">Fondazione TIM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Tipologia di bando: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Bando SALUTE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Bando/call: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space="0" w:sz="0" w:val="nil"/>
                <w:right w:color="000000" w:space="0" w:sz="0" w:val="none"/>
                <w:between w:space="0" w:sz="0" w:val="nil"/>
              </w:pBdr>
              <w:shd w:fill="ffffff" w:val="clear"/>
              <w:spacing w:after="240" w:lineRule="auto"/>
              <w:ind w:left="-20" w:firstLine="0"/>
              <w:rPr>
                <w:color w:val="000000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Bando SALUTE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Tema/obiettivo del bando: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28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Fondazione TIM presenta il Bando Salute 2025, il primo bando del nuovo ambito di intervento Salute, con l'obiettivo di sostenere la ricerca e l’innovazione in area medico-scientifica attraverso lo sviluppo di nuove tecnologie e approcci diagnostico-terapeutici.</w:t>
            </w:r>
          </w:p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28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Fondazione TIM intende sostenere la ricerca molecolare destinando questo bando alle Cliniche Universitarie, ai Centri e Istituti di Ricerca e alle Scuole di Medicina. L’obiettivo è supportare progetti di ricerca molecolare avanzata, con un focus su medicina di precisione, diagnostica oncologica e nuove terapie mirate. Il bando potrà finanziare sia progetti originali sia segmenti di ricerche già avviate, favorendo la crescita della ricerca in settori altamente strategici.</w:t>
            </w:r>
          </w:p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28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 titolo esemplificativo:</w:t>
            </w:r>
          </w:p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28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• nuovi approcci di medicina di precisione nella prevenzione e nel trattamento delle malattie autoimmuni e croniche;</w:t>
            </w:r>
          </w:p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28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• innovazioni nella diagnostica oncologica molecolare, con particolare attenzione a tecniche non invasive (ad esempio, la biopsia liquida) per identificare pazienti a rischio elevato di recidiva;</w:t>
            </w:r>
          </w:p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28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• ricerca di biomarcatori e identificazione di nuovi target molecolari per terapie mirate.</w:t>
            </w:r>
          </w:p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28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Il bando si rivolge a tutte le organizzazioni no profit con comprovata esperienza nel settore della ricerca biomedica quali  le Cliniche Universitarie, i Centri e Istituti di Ricerca e le Scuole di Medicina,  e le Fondazioni impegnate nello studio delle scienze omiche, della genomica, della biotecnologia e della biologia molecolare applicate alla prevenzione, alla diagnosi e alla cura delle malattie complesse.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Requisiti: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144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devono essere Cliniche Universitarie,</w:t>
              <w:tab/>
              <w:t xml:space="preserve">Centri e Istituti di</w:t>
              <w:tab/>
              <w:t xml:space="preserve">Ricerca</w:t>
              <w:tab/>
              <w:t xml:space="preserve">e Scuole di Medicina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1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144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il Soggetto Proponente non ha finalità di lucro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1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ind w:left="144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Ogni  Soggetto Proponente potrà presentare</w:t>
              <w:tab/>
              <w:t xml:space="preserve"> al massimo  una  richiesta  di  contributo, sia  esso partecipante  in qualità di ente capofila che</w:t>
              <w:tab/>
              <w:t xml:space="preserve"> come ente partner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1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ind w:left="144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Il Soggetto Proponente potrà</w:t>
              <w:tab/>
              <w:t xml:space="preserve">avvalersi di prestazioni terze per la realizzazione del progetto che non dovranno superare la percentuale del 49% rispetto</w:t>
              <w:tab/>
              <w:t xml:space="preserve">al contributo</w:t>
              <w:tab/>
              <w:t xml:space="preserve">di Fondazione TIM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1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ind w:left="144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Non potranno</w:t>
              <w:tab/>
              <w:t xml:space="preserve">partecipare al</w:t>
              <w:tab/>
              <w:t xml:space="preserve">bando</w:t>
              <w:tab/>
              <w:t xml:space="preserve">associazioni di cui TIM e/o</w:t>
              <w:tab/>
              <w:t xml:space="preserve">una società del Gruppo TIM è socio unico fondatore</w:t>
              <w:tab/>
              <w:t xml:space="preserve">e/o ne</w:t>
              <w:tab/>
              <w:t xml:space="preserve">detiene una quota uguale</w:t>
              <w:tab/>
              <w:t xml:space="preserve">o superiore al</w:t>
              <w:tab/>
              <w:t xml:space="preserve">50%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1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ind w:left="1440" w:hanging="36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Durata massima del progetto 24 mesi</w:t>
            </w:r>
          </w:p>
          <w:p w:rsidR="00000000" w:rsidDel="00000000" w:rsidP="00000000" w:rsidRDefault="00000000" w:rsidRPr="00000000" w14:paraId="0000002F">
            <w:pPr>
              <w:ind w:left="0" w:firstLine="0"/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PROGETTI E SOGGETTI NON AMMISSIBILI</w:t>
            </w:r>
          </w:p>
          <w:p w:rsidR="00000000" w:rsidDel="00000000" w:rsidP="00000000" w:rsidRDefault="00000000" w:rsidRPr="00000000" w14:paraId="00000031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non saranno</w:t>
              <w:tab/>
              <w:t xml:space="preserve">ammessi progetti presentati da Soggetti Proponenti la</w:t>
              <w:tab/>
              <w:t xml:space="preserve">cui attività è svolta</w:t>
              <w:tab/>
              <w:t xml:space="preserve">con</w:t>
              <w:tab/>
              <w:t xml:space="preserve">finalità</w:t>
              <w:tab/>
              <w:t xml:space="preserve"> di</w:t>
              <w:tab/>
              <w:t xml:space="preserve">lucro o rientra nell’esercizio</w:t>
              <w:tab/>
              <w:t xml:space="preserve">dell’attività</w:t>
              <w:tab/>
              <w:t xml:space="preserve">d’impresa</w:t>
              <w:tab/>
              <w:t xml:space="preserve">a qualsiasi fine esercitata;</w:t>
            </w:r>
          </w:p>
          <w:p w:rsidR="00000000" w:rsidDel="00000000" w:rsidP="00000000" w:rsidRDefault="00000000" w:rsidRPr="00000000" w14:paraId="00000032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non saranno</w:t>
              <w:tab/>
              <w:t xml:space="preserve"> ammessi  progetti  che  prevedono</w:t>
              <w:tab/>
              <w:t xml:space="preserve"> costi  non  strettamente</w:t>
              <w:tab/>
              <w:t xml:space="preserve"> correlati  al  progetto</w:t>
              <w:tab/>
              <w:t xml:space="preserve"> (ad  esempio riferiti all’attività ordinaria dei Soggetti Proponenti);</w:t>
            </w:r>
          </w:p>
          <w:p w:rsidR="00000000" w:rsidDel="00000000" w:rsidP="00000000" w:rsidRDefault="00000000" w:rsidRPr="00000000" w14:paraId="00000034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non</w:t>
              <w:tab/>
              <w:t xml:space="preserve"> saranno ammessi</w:t>
              <w:tab/>
              <w:t xml:space="preserve"> progetti  presentati  da</w:t>
              <w:tab/>
              <w:t xml:space="preserve"> partiti</w:t>
              <w:tab/>
              <w:t xml:space="preserve"> politici,  esponenti</w:t>
              <w:tab/>
              <w:t xml:space="preserve"> politici, fondazioni/associazioni riconducibili</w:t>
              <w:tab/>
              <w:t xml:space="preserve">a</w:t>
              <w:tab/>
              <w:t xml:space="preserve">partiti</w:t>
              <w:tab/>
              <w:t xml:space="preserve">politici</w:t>
              <w:tab/>
              <w:t xml:space="preserve">o</w:t>
              <w:tab/>
              <w:t xml:space="preserve">soggetti politicamente</w:t>
              <w:tab/>
              <w:t xml:space="preserve">esposti;</w:t>
            </w:r>
          </w:p>
          <w:p w:rsidR="00000000" w:rsidDel="00000000" w:rsidP="00000000" w:rsidRDefault="00000000" w:rsidRPr="00000000" w14:paraId="00000036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non</w:t>
              <w:tab/>
              <w:t xml:space="preserve">saranno ammessi progetti e</w:t>
              <w:tab/>
              <w:t xml:space="preserve">Soggetti Proponenti che non rispondano ai requisiti</w:t>
              <w:tab/>
              <w:t xml:space="preserve">descritti nel presente</w:t>
              <w:tab/>
              <w:t xml:space="preserve">bando;</w:t>
            </w:r>
          </w:p>
          <w:p w:rsidR="00000000" w:rsidDel="00000000" w:rsidP="00000000" w:rsidRDefault="00000000" w:rsidRPr="00000000" w14:paraId="00000038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non</w:t>
              <w:tab/>
              <w:t xml:space="preserve">potranno partecipare</w:t>
              <w:tab/>
              <w:t xml:space="preserve">al bando associazioni di cui TIM e/o</w:t>
              <w:tab/>
              <w:t xml:space="preserve">una</w:t>
              <w:tab/>
              <w:t xml:space="preserve">società</w:t>
              <w:tab/>
              <w:t xml:space="preserve">de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Soggetti responsabili/ammessi: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after="12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Università:</w:t>
            </w:r>
          </w:p>
          <w:p w:rsidR="00000000" w:rsidDel="00000000" w:rsidP="00000000" w:rsidRDefault="00000000" w:rsidRPr="00000000" w14:paraId="0000003D">
            <w:pPr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X☐</w:t>
            </w:r>
            <w:r w:rsidDel="00000000" w:rsidR="00000000" w:rsidRPr="00000000">
              <w:rPr>
                <w:b w:val="1"/>
                <w:rtl w:val="0"/>
              </w:rPr>
              <w:t xml:space="preserve"> Sì</w:t>
            </w:r>
          </w:p>
          <w:p w:rsidR="00000000" w:rsidDel="00000000" w:rsidP="00000000" w:rsidRDefault="00000000" w:rsidRPr="00000000" w14:paraId="0000003E">
            <w:pPr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 </w:t>
            </w:r>
          </w:p>
          <w:p w:rsidR="00000000" w:rsidDel="00000000" w:rsidP="00000000" w:rsidRDefault="00000000" w:rsidRPr="00000000" w14:paraId="0000003F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Altri soggetti responsabili/ ammessi: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spacing w:after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Centri</w:t>
              <w:tab/>
              <w:t xml:space="preserve">e Istituti di Ricerca;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spacing w:after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Scuole</w:t>
              <w:tab/>
              <w:t xml:space="preserve">di Medicina;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spacing w:after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Fondazioni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Application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Sito web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Bando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Questionario due diligence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Piano economico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4E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Scadenza domanda: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4F">
            <w:pPr>
              <w:spacing w:after="240" w:lineRule="auto"/>
              <w:rPr>
                <w:rFonts w:ascii="Arial" w:cs="Arial" w:eastAsia="Arial" w:hAnsi="Arial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rtl w:val="0"/>
              </w:rPr>
              <w:t xml:space="preserve">08 SETTEMBRE 2025, ore 12:00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51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Finanziamento (Max/Min/Co-fin):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52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Budget complessivo</w:t>
            </w:r>
            <w:r w:rsidDel="00000000" w:rsidR="00000000" w:rsidRPr="00000000">
              <w:rPr>
                <w:rtl w:val="0"/>
              </w:rPr>
              <w:t xml:space="preserve">: 500 mila</w:t>
            </w:r>
          </w:p>
          <w:p w:rsidR="00000000" w:rsidDel="00000000" w:rsidP="00000000" w:rsidRDefault="00000000" w:rsidRPr="00000000" w14:paraId="00000053">
            <w:pPr>
              <w:spacing w:after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max per progetto: 500 mila</w:t>
            </w:r>
          </w:p>
          <w:p w:rsidR="00000000" w:rsidDel="00000000" w:rsidP="00000000" w:rsidRDefault="00000000" w:rsidRPr="00000000" w14:paraId="00000054">
            <w:pPr>
              <w:spacing w:after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Importo erogato: 80% </w:t>
            </w:r>
          </w:p>
          <w:p w:rsidR="00000000" w:rsidDel="00000000" w:rsidP="00000000" w:rsidRDefault="00000000" w:rsidRPr="00000000" w14:paraId="00000055">
            <w:pPr>
              <w:spacing w:after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co-finanziamento: 20%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be5d5" w:val="clear"/>
          </w:tcPr>
          <w:p w:rsidR="00000000" w:rsidDel="00000000" w:rsidP="00000000" w:rsidRDefault="00000000" w:rsidRPr="00000000" w14:paraId="00000057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AD OPERA DELL’UFFICIO RICERCA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5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Costi ammissibili: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5B">
            <w:pPr>
              <w:shd w:fill="ffffff" w:val="clear"/>
              <w:spacing w:after="300" w:before="160" w:line="330" w:lineRule="auto"/>
              <w:rPr/>
            </w:pPr>
            <w:r w:rsidDel="00000000" w:rsidR="00000000" w:rsidRPr="00000000">
              <w:rPr>
                <w:rtl w:val="0"/>
              </w:rPr>
              <w:t xml:space="preserve">Sono considerate ammissibili solo le spese che soddisfano tutti e tre i seguenti criteri: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shd w:fill="ffffff" w:val="clear"/>
              <w:spacing w:after="0" w:before="160" w:line="33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Coerenza con le attività previste dal progetto.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shd w:fill="ffffff" w:val="clear"/>
              <w:spacing w:after="0" w:before="0" w:line="33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Esecuzione durante il periodo di realizzazione del progetto.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shd w:fill="ffffff" w:val="clear"/>
              <w:spacing w:after="300" w:before="0" w:line="33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Inclusione nel piano economico approvato.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300" w:before="160" w:line="33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Oneri pluriennali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5"/>
              </w:numPr>
              <w:shd w:fill="ffffff" w:val="clear"/>
              <w:spacing w:after="0" w:before="160" w:line="33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Ammessi fino al 40% del costo complessivo del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5"/>
              </w:numPr>
              <w:shd w:fill="ffffff" w:val="clear"/>
              <w:spacing w:after="300" w:before="0" w:line="33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 riguardano attrezzature, immobili o ristrutturazioni: max 25.000 €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after="300" w:before="160" w:line="33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Oneri di supporto generale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shd w:fill="ffffff" w:val="clear"/>
              <w:spacing w:after="0" w:before="160" w:line="33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Max 7% del costo complessivo.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shd w:fill="ffffff" w:val="clear"/>
              <w:spacing w:after="300" w:before="0" w:line="33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Comprende: Personale amministrativo, Oneri di progettazione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66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 e considerazioni: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7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120" w:before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Livello di interesse:</w:t>
            </w:r>
          </w:p>
          <w:p w:rsidR="00000000" w:rsidDel="00000000" w:rsidP="00000000" w:rsidRDefault="00000000" w:rsidRPr="00000000" w14:paraId="0000006A">
            <w:pPr>
              <w:spacing w:after="12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Alto</w:t>
            </w:r>
          </w:p>
          <w:p w:rsidR="00000000" w:rsidDel="00000000" w:rsidP="00000000" w:rsidRDefault="00000000" w:rsidRPr="00000000" w14:paraId="0000006B">
            <w:pPr>
              <w:spacing w:after="12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Medio </w:t>
            </w:r>
          </w:p>
          <w:p w:rsidR="00000000" w:rsidDel="00000000" w:rsidP="00000000" w:rsidRDefault="00000000" w:rsidRPr="00000000" w14:paraId="0000006C">
            <w:pPr>
              <w:spacing w:after="12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Basso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120" w:before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Infografica: </w:t>
            </w:r>
          </w:p>
          <w:p w:rsidR="00000000" w:rsidDel="00000000" w:rsidP="00000000" w:rsidRDefault="00000000" w:rsidRPr="00000000" w14:paraId="0000006F">
            <w:pPr>
              <w:spacing w:after="12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X☐</w:t>
            </w:r>
            <w:r w:rsidDel="00000000" w:rsidR="00000000" w:rsidRPr="00000000">
              <w:rPr>
                <w:b w:val="1"/>
                <w:rtl w:val="0"/>
              </w:rPr>
              <w:t xml:space="preserve"> Sì </w:t>
            </w:r>
          </w:p>
          <w:p w:rsidR="00000000" w:rsidDel="00000000" w:rsidP="00000000" w:rsidRDefault="00000000" w:rsidRPr="00000000" w14:paraId="00000070">
            <w:pPr>
              <w:spacing w:after="12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 </w:t>
            </w:r>
          </w:p>
          <w:p w:rsidR="00000000" w:rsidDel="00000000" w:rsidP="00000000" w:rsidRDefault="00000000" w:rsidRPr="00000000" w14:paraId="00000071">
            <w:pPr>
              <w:spacing w:after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In attesa</w:t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b w:val="1"/>
        <w:color w:val="000000"/>
      </w:rPr>
    </w:pPr>
    <w:r w:rsidDel="00000000" w:rsidR="00000000" w:rsidRPr="00000000">
      <w:rPr>
        <w:b w:val="1"/>
        <w:color w:val="1f4e79"/>
        <w:sz w:val="36"/>
        <w:szCs w:val="36"/>
        <w:rtl w:val="0"/>
      </w:rPr>
      <w:t xml:space="preserve">SCOUTING DEI BANDI DI RICERCA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-122541</wp:posOffset>
          </wp:positionV>
          <wp:extent cx="1087120" cy="514350"/>
          <wp:effectExtent b="0" l="0" r="0" t="0"/>
          <wp:wrapNone/>
          <wp:docPr descr="Immagine che contiene testo, Carattere, logo, simbolo&#10;&#10;Descrizione generata automaticamente" id="12" name="image1.jpg"/>
          <a:graphic>
            <a:graphicData uri="http://schemas.openxmlformats.org/drawingml/2006/picture">
              <pic:pic>
                <pic:nvPicPr>
                  <pic:cNvPr descr="Immagine che contiene testo, Carattere, logo, simbolo&#10;&#10;Descrizione generat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7120" cy="514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ondazionetim.it/sites/default/files/2025-06/Fondazione%20TIM%20-%20Regolamento%20e%20FAQ%20Bando%20Salute%202025%20%281%29%20%281%29.pdf" TargetMode="External"/><Relationship Id="rId10" Type="http://schemas.openxmlformats.org/officeDocument/2006/relationships/hyperlink" Target="https://www.fondazionetim.it/bandi/bando-salute-2025" TargetMode="External"/><Relationship Id="rId13" Type="http://schemas.openxmlformats.org/officeDocument/2006/relationships/hyperlink" Target="https://www.fondazionetim.it/sites/default/files/2025-05/Piano%20Economico%20Fondazione%20TIM%202025.xlsx" TargetMode="External"/><Relationship Id="rId12" Type="http://schemas.openxmlformats.org/officeDocument/2006/relationships/hyperlink" Target="https://www.fondazionetim.it/sites/default/files/2025-05/Questionario%20Due%20Diligence%20%281%29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ondazionetim.it/user/login?destination=/form/bandi%3Fsource_entity_type%3Dnode%26source_entity_id%3D7381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ondazionetim.it/bandi/bando-salute-2025" TargetMode="External"/><Relationship Id="rId8" Type="http://schemas.openxmlformats.org/officeDocument/2006/relationships/hyperlink" Target="https://www.fondazionetim.it/bandi/bando-salute-2025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IKed1UYJ1pVNxyEFLvLeNoNpFA==">CgMxLjA4AHIhMUFHa1A5MmRYNjMtNlFyTFZBRWNYZkdpeXpBaUJ5V21J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2025-05-28T13:17:00Z</dcterms:created>
</cp:coreProperties>
</file>