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1961"/>
        <w:gridCol w:w="4508"/>
        <w:tblGridChange w:id="0">
          <w:tblGrid>
            <w:gridCol w:w="2547"/>
            <w:gridCol w:w="1961"/>
            <w:gridCol w:w="4508"/>
          </w:tblGrid>
        </w:tblGridChange>
      </w:tblGrid>
      <w:tr>
        <w:trPr>
          <w:cantSplit w:val="0"/>
          <w:tblHeader w:val="0"/>
        </w:trPr>
        <w:tc>
          <w:tcPr>
            <w:gridSpan w:val="3"/>
            <w:shd w:fill="e2efd9" w:val="clear"/>
          </w:tcPr>
          <w:p w:rsidR="00000000" w:rsidDel="00000000" w:rsidP="00000000" w:rsidRDefault="00000000" w:rsidRPr="00000000" w14:paraId="00000002">
            <w:pPr>
              <w:spacing w:after="120" w:before="120" w:lineRule="auto"/>
              <w:jc w:val="center"/>
              <w:rPr>
                <w:b w:val="1"/>
              </w:rPr>
            </w:pPr>
            <w:r w:rsidDel="00000000" w:rsidR="00000000" w:rsidRPr="00000000">
              <w:rPr>
                <w:b w:val="1"/>
                <w:rtl w:val="0"/>
              </w:rPr>
              <w:t xml:space="preserve">INFO SCOUTING</w:t>
            </w:r>
          </w:p>
        </w:tc>
      </w:tr>
      <w:tr>
        <w:trPr>
          <w:cantSplit w:val="0"/>
          <w:tblHeader w:val="0"/>
        </w:trPr>
        <w:tc>
          <w:tcPr>
            <w:shd w:fill="f2f2f2" w:val="clear"/>
          </w:tcPr>
          <w:p w:rsidR="00000000" w:rsidDel="00000000" w:rsidP="00000000" w:rsidRDefault="00000000" w:rsidRPr="00000000" w14:paraId="00000005">
            <w:pPr>
              <w:spacing w:after="240" w:lineRule="auto"/>
              <w:rPr>
                <w:b w:val="1"/>
              </w:rPr>
            </w:pPr>
            <w:r w:rsidDel="00000000" w:rsidR="00000000" w:rsidRPr="00000000">
              <w:rPr>
                <w:b w:val="1"/>
                <w:rtl w:val="0"/>
              </w:rPr>
              <w:t xml:space="preserve">Periodo di scouting:</w:t>
            </w:r>
          </w:p>
        </w:tc>
        <w:tc>
          <w:tcPr>
            <w:gridSpan w:val="2"/>
          </w:tcPr>
          <w:p w:rsidR="00000000" w:rsidDel="00000000" w:rsidP="00000000" w:rsidRDefault="00000000" w:rsidRPr="00000000" w14:paraId="00000006">
            <w:pPr>
              <w:spacing w:after="240" w:lineRule="auto"/>
              <w:rPr>
                <w:b w:val="1"/>
              </w:rPr>
            </w:pPr>
            <w:r w:rsidDel="00000000" w:rsidR="00000000" w:rsidRPr="00000000">
              <w:rPr>
                <w:color w:val="212529"/>
                <w:highlight w:val="white"/>
                <w:rtl w:val="0"/>
              </w:rPr>
              <w:t xml:space="preserve">26/05/2025</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08">
            <w:pPr>
              <w:spacing w:after="240" w:lineRule="auto"/>
              <w:rPr>
                <w:b w:val="1"/>
              </w:rPr>
            </w:pPr>
            <w:r w:rsidDel="00000000" w:rsidR="00000000" w:rsidRPr="00000000">
              <w:rPr>
                <w:b w:val="1"/>
                <w:rtl w:val="0"/>
              </w:rPr>
              <w:t xml:space="preserve">Fonte:</w:t>
            </w:r>
          </w:p>
        </w:tc>
        <w:tc>
          <w:tcPr>
            <w:gridSpan w:val="2"/>
          </w:tcPr>
          <w:p w:rsidR="00000000" w:rsidDel="00000000" w:rsidP="00000000" w:rsidRDefault="00000000" w:rsidRPr="00000000" w14:paraId="00000009">
            <w:pPr>
              <w:spacing w:after="240" w:lineRule="auto"/>
              <w:rPr/>
            </w:pPr>
            <w:hyperlink r:id="rId7">
              <w:r w:rsidDel="00000000" w:rsidR="00000000" w:rsidRPr="00000000">
                <w:rPr>
                  <w:color w:val="1155cc"/>
                  <w:u w:val="single"/>
                  <w:rtl w:val="0"/>
                </w:rPr>
                <w:t xml:space="preserve">http://www.ricercainternazionale.mur.gov.it/era/art-185-del-trattato-dell-unione-europea/prima.aspx</w:t>
              </w:r>
            </w:hyperlink>
            <w:r w:rsidDel="00000000" w:rsidR="00000000" w:rsidRPr="00000000">
              <w:rPr>
                <w:rtl w:val="0"/>
              </w:rPr>
            </w:r>
          </w:p>
        </w:tc>
      </w:tr>
      <w:tr>
        <w:trPr>
          <w:cantSplit w:val="0"/>
          <w:tblHeader w:val="0"/>
        </w:trPr>
        <w:tc>
          <w:tcPr>
            <w:gridSpan w:val="3"/>
            <w:shd w:fill="deebf6" w:val="clear"/>
          </w:tcPr>
          <w:p w:rsidR="00000000" w:rsidDel="00000000" w:rsidP="00000000" w:rsidRDefault="00000000" w:rsidRPr="00000000" w14:paraId="0000000B">
            <w:pPr>
              <w:spacing w:after="120" w:before="120" w:lineRule="auto"/>
              <w:jc w:val="center"/>
              <w:rPr>
                <w:b w:val="1"/>
              </w:rPr>
            </w:pPr>
            <w:r w:rsidDel="00000000" w:rsidR="00000000" w:rsidRPr="00000000">
              <w:rPr>
                <w:b w:val="1"/>
                <w:rtl w:val="0"/>
              </w:rPr>
              <w:t xml:space="preserve">DESCRIZIONE BANDO</w:t>
            </w:r>
          </w:p>
        </w:tc>
      </w:tr>
      <w:tr>
        <w:trPr>
          <w:cantSplit w:val="0"/>
          <w:tblHeader w:val="0"/>
        </w:trPr>
        <w:tc>
          <w:tcPr>
            <w:shd w:fill="f2f2f2" w:val="clear"/>
          </w:tcPr>
          <w:p w:rsidR="00000000" w:rsidDel="00000000" w:rsidP="00000000" w:rsidRDefault="00000000" w:rsidRPr="00000000" w14:paraId="0000000E">
            <w:pPr>
              <w:spacing w:after="240" w:lineRule="auto"/>
              <w:rPr>
                <w:b w:val="1"/>
              </w:rPr>
            </w:pPr>
            <w:r w:rsidDel="00000000" w:rsidR="00000000" w:rsidRPr="00000000">
              <w:rPr>
                <w:b w:val="1"/>
                <w:rtl w:val="0"/>
              </w:rPr>
              <w:t xml:space="preserve">Ente proponente:</w:t>
            </w:r>
          </w:p>
        </w:tc>
        <w:tc>
          <w:tcPr>
            <w:gridSpan w:val="2"/>
          </w:tcPr>
          <w:p w:rsidR="00000000" w:rsidDel="00000000" w:rsidP="00000000" w:rsidRDefault="00000000" w:rsidRPr="00000000" w14:paraId="0000000F">
            <w:pPr>
              <w:spacing w:after="240" w:lineRule="auto"/>
              <w:rPr/>
            </w:pPr>
            <w:r w:rsidDel="00000000" w:rsidR="00000000" w:rsidRPr="00000000">
              <w:rPr>
                <w:rtl w:val="0"/>
              </w:rPr>
              <w:t xml:space="preserve">Commissione Europea</w:t>
            </w:r>
          </w:p>
        </w:tc>
      </w:tr>
      <w:tr>
        <w:trPr>
          <w:cantSplit w:val="0"/>
          <w:tblHeader w:val="0"/>
        </w:trPr>
        <w:tc>
          <w:tcPr>
            <w:shd w:fill="f2f2f2" w:val="clear"/>
          </w:tcPr>
          <w:p w:rsidR="00000000" w:rsidDel="00000000" w:rsidP="00000000" w:rsidRDefault="00000000" w:rsidRPr="00000000" w14:paraId="00000011">
            <w:pPr>
              <w:spacing w:after="240" w:lineRule="auto"/>
              <w:rPr>
                <w:b w:val="1"/>
              </w:rPr>
            </w:pPr>
            <w:r w:rsidDel="00000000" w:rsidR="00000000" w:rsidRPr="00000000">
              <w:rPr>
                <w:b w:val="1"/>
                <w:rtl w:val="0"/>
              </w:rPr>
              <w:t xml:space="preserve">Tipologia di bando:</w:t>
            </w:r>
          </w:p>
        </w:tc>
        <w:tc>
          <w:tcPr>
            <w:gridSpan w:val="2"/>
          </w:tcPr>
          <w:p w:rsidR="00000000" w:rsidDel="00000000" w:rsidP="00000000" w:rsidRDefault="00000000" w:rsidRPr="00000000" w14:paraId="00000012">
            <w:pPr>
              <w:spacing w:after="240" w:lineRule="auto"/>
              <w:rPr>
                <w:highlight w:val="white"/>
              </w:rPr>
            </w:pPr>
            <w:r w:rsidDel="00000000" w:rsidR="00000000" w:rsidRPr="00000000">
              <w:rPr>
                <w:highlight w:val="white"/>
                <w:rtl w:val="0"/>
              </w:rPr>
              <w:t xml:space="preserve">European-Partnership for Research and Innovation in the Mediterranean Area</w:t>
            </w:r>
          </w:p>
          <w:p w:rsidR="00000000" w:rsidDel="00000000" w:rsidP="00000000" w:rsidRDefault="00000000" w:rsidRPr="00000000" w14:paraId="00000013">
            <w:pPr>
              <w:spacing w:after="240" w:lineRule="auto"/>
              <w:rPr/>
            </w:pPr>
            <w:r w:rsidDel="00000000" w:rsidR="00000000" w:rsidRPr="00000000">
              <w:rPr>
                <w:rtl w:val="0"/>
              </w:rPr>
            </w:r>
          </w:p>
        </w:tc>
      </w:tr>
      <w:tr>
        <w:trPr>
          <w:cantSplit w:val="0"/>
          <w:trHeight w:val="139" w:hRule="atLeast"/>
          <w:tblHeader w:val="0"/>
        </w:trPr>
        <w:tc>
          <w:tcPr>
            <w:gridSpan w:val="3"/>
          </w:tcPr>
          <w:p w:rsidR="00000000" w:rsidDel="00000000" w:rsidP="00000000" w:rsidRDefault="00000000" w:rsidRPr="00000000" w14:paraId="00000015">
            <w:pPr>
              <w:rPr>
                <w:b w:val="1"/>
                <w:sz w:val="18"/>
                <w:szCs w:val="18"/>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8">
            <w:pPr>
              <w:spacing w:after="240" w:lineRule="auto"/>
              <w:rPr>
                <w:b w:val="1"/>
              </w:rPr>
            </w:pPr>
            <w:r w:rsidDel="00000000" w:rsidR="00000000" w:rsidRPr="00000000">
              <w:rPr>
                <w:b w:val="1"/>
                <w:rtl w:val="0"/>
              </w:rPr>
              <w:t xml:space="preserve">Bando/call:</w:t>
            </w:r>
          </w:p>
        </w:tc>
        <w:tc>
          <w:tcPr>
            <w:gridSpan w:val="2"/>
          </w:tcPr>
          <w:p w:rsidR="00000000" w:rsidDel="00000000" w:rsidP="00000000" w:rsidRDefault="00000000" w:rsidRPr="00000000" w14:paraId="00000019">
            <w:pPr>
              <w:pBdr>
                <w:top w:color="000000" w:space="0" w:sz="0" w:val="none"/>
                <w:left w:color="000000" w:space="0" w:sz="0" w:val="none"/>
                <w:bottom w:space="0" w:sz="0" w:val="nil"/>
                <w:right w:color="000000" w:space="0" w:sz="0" w:val="none"/>
                <w:between w:space="0" w:sz="0" w:val="nil"/>
              </w:pBdr>
              <w:shd w:fill="ffffff" w:val="clear"/>
              <w:spacing w:after="240" w:lineRule="auto"/>
              <w:ind w:left="-20" w:firstLine="0"/>
              <w:rPr>
                <w:color w:val="000000"/>
              </w:rPr>
            </w:pPr>
            <w:hyperlink r:id="rId8">
              <w:r w:rsidDel="00000000" w:rsidR="00000000" w:rsidRPr="00000000">
                <w:rPr>
                  <w:color w:val="1155cc"/>
                  <w:u w:val="single"/>
                  <w:rtl w:val="0"/>
                </w:rPr>
                <w:t xml:space="preserve">PRIMA 2025</w:t>
              </w:r>
            </w:hyperlink>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B">
            <w:pPr>
              <w:spacing w:after="240" w:lineRule="auto"/>
              <w:rPr>
                <w:b w:val="1"/>
              </w:rPr>
            </w:pPr>
            <w:r w:rsidDel="00000000" w:rsidR="00000000" w:rsidRPr="00000000">
              <w:rPr>
                <w:b w:val="1"/>
                <w:rtl w:val="0"/>
              </w:rPr>
              <w:t xml:space="preserve">Tema/obiettivo del bando:</w:t>
            </w:r>
          </w:p>
        </w:tc>
        <w:tc>
          <w:tcPr>
            <w:gridSpan w:val="2"/>
          </w:tcPr>
          <w:p w:rsidR="00000000" w:rsidDel="00000000" w:rsidP="00000000" w:rsidRDefault="00000000" w:rsidRPr="00000000" w14:paraId="0000001C">
            <w:pPr>
              <w:jc w:val="both"/>
              <w:rPr/>
            </w:pPr>
            <w:r w:rsidDel="00000000" w:rsidR="00000000" w:rsidRPr="00000000">
              <w:rPr>
                <w:rtl w:val="0"/>
              </w:rPr>
              <w:t xml:space="preserve">Il Programma PRIMA (Partnership for Research and Innovation in the Mediterranean Area) è un'azione euro-mediterranea avente lo scopo di consolidare un partenariato strutturato a lungo termine in materia di ricerca e innovazione nell'area mediterranea, conformemente ai principi di co-titolarità, interesse reciproco e condivisione dei benefici.</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L'iniziativa è stata avviata da </w:t>
            </w:r>
            <w:r w:rsidDel="00000000" w:rsidR="00000000" w:rsidRPr="00000000">
              <w:rPr>
                <w:b w:val="1"/>
                <w:rtl w:val="0"/>
              </w:rPr>
              <w:t xml:space="preserve">20 Stati</w:t>
            </w:r>
            <w:r w:rsidDel="00000000" w:rsidR="00000000" w:rsidRPr="00000000">
              <w:rPr>
                <w:rtl w:val="0"/>
              </w:rPr>
              <w:t xml:space="preserve">, di cui: 12 Stati membri dell'UE (Croazia, Cipro, Francia, Italia, Germania, Grecia, Lussemburgo, Malta, Portogallo, Slovenia, Spagna, Bulgaria); 3 Paesi Associati ad Horizon 2020 (Israele, Turchia e Tunisia); 5 Paesi Terzi del Mediterraneo (Algeria, Egitto, Libano, Marocco e Giordania). </w:t>
            </w:r>
            <w:r w:rsidDel="00000000" w:rsidR="00000000" w:rsidRPr="00000000">
              <w:rPr>
                <w:b w:val="1"/>
                <w:rtl w:val="0"/>
              </w:rPr>
              <w:t xml:space="preserve">Il budget complessivo del Programma ammonta a circa 709 M€</w:t>
            </w:r>
            <w:r w:rsidDel="00000000" w:rsidR="00000000" w:rsidRPr="00000000">
              <w:rPr>
                <w:rtl w:val="0"/>
              </w:rPr>
              <w:t xml:space="preserve"> ripartiti in 7 anni (325 milioni dalla Commissione europea nell'ambito del Programma quadro per la ricerca Horizon 2020, 384 milioni dai 20 Paesi partecipanti).</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L'obiettivo generale di PRIMA è prevedere soluzioni innovative comuni nel settore dell'approvvigionamento idrico e dei sistemi alimentari, migliorandone l'efficienza e contribuendo così a risolvere i problemi più gravi che attualmente si riscontrano nel settore dell'alimentazione, della salute, del benessere e della migrazione.</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Pertanto, il Programma PRIMA  si concentra sulle seguenti </w:t>
            </w:r>
            <w:r w:rsidDel="00000000" w:rsidR="00000000" w:rsidRPr="00000000">
              <w:rPr>
                <w:b w:val="1"/>
                <w:rtl w:val="0"/>
              </w:rPr>
              <w:t xml:space="preserve">3 aree tematiche principali:</w:t>
            </w:r>
            <w:r w:rsidDel="00000000" w:rsidR="00000000" w:rsidRPr="00000000">
              <w:rPr>
                <w:rtl w:val="0"/>
              </w:rPr>
              <w:t xml:space="preserve"> </w:t>
            </w:r>
          </w:p>
          <w:p w:rsidR="00000000" w:rsidDel="00000000" w:rsidP="00000000" w:rsidRDefault="00000000" w:rsidRPr="00000000" w14:paraId="00000023">
            <w:pPr>
              <w:numPr>
                <w:ilvl w:val="0"/>
                <w:numId w:val="3"/>
              </w:numPr>
              <w:ind w:left="720" w:hanging="360"/>
              <w:jc w:val="both"/>
              <w:rPr/>
            </w:pPr>
            <w:r w:rsidDel="00000000" w:rsidR="00000000" w:rsidRPr="00000000">
              <w:rPr>
                <w:rtl w:val="0"/>
              </w:rPr>
              <w:t xml:space="preserve">Management of water</w:t>
            </w:r>
          </w:p>
          <w:p w:rsidR="00000000" w:rsidDel="00000000" w:rsidP="00000000" w:rsidRDefault="00000000" w:rsidRPr="00000000" w14:paraId="00000024">
            <w:pPr>
              <w:numPr>
                <w:ilvl w:val="0"/>
                <w:numId w:val="3"/>
              </w:numPr>
              <w:ind w:left="720" w:hanging="360"/>
              <w:jc w:val="both"/>
              <w:rPr/>
            </w:pPr>
            <w:r w:rsidDel="00000000" w:rsidR="00000000" w:rsidRPr="00000000">
              <w:rPr>
                <w:rtl w:val="0"/>
              </w:rPr>
              <w:t xml:space="preserve">Farming system</w:t>
            </w:r>
          </w:p>
          <w:p w:rsidR="00000000" w:rsidDel="00000000" w:rsidP="00000000" w:rsidRDefault="00000000" w:rsidRPr="00000000" w14:paraId="00000025">
            <w:pPr>
              <w:numPr>
                <w:ilvl w:val="0"/>
                <w:numId w:val="3"/>
              </w:numPr>
              <w:ind w:left="720" w:hanging="360"/>
              <w:jc w:val="both"/>
              <w:rPr/>
            </w:pPr>
            <w:r w:rsidDel="00000000" w:rsidR="00000000" w:rsidRPr="00000000">
              <w:rPr>
                <w:rtl w:val="0"/>
              </w:rPr>
              <w:t xml:space="preserve">Agro-food value chain</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L'attuazione del Programma è affidata ad una specifica </w:t>
            </w:r>
            <w:r w:rsidDel="00000000" w:rsidR="00000000" w:rsidRPr="00000000">
              <w:rPr>
                <w:b w:val="1"/>
                <w:rtl w:val="0"/>
              </w:rPr>
              <w:t xml:space="preserve">struttura di implementazione (DIS - Dedicated Implementation structure), la PRIMA Foundation (PRIMA-IS)</w:t>
            </w:r>
            <w:r w:rsidDel="00000000" w:rsidR="00000000" w:rsidRPr="00000000">
              <w:rPr>
                <w:rtl w:val="0"/>
              </w:rPr>
              <w:t xml:space="preserve">, un organismo internazionale con sede a Barcellona che governa l'Iniziativa per conto del Partenariato e che si occupa della gestione del contributo dell'UE (220 milioni di euro).</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Il bando PRIMA 2025 - Section 2 prevede il finanziamento dei seguenti topic suddivisi per area tematica:</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Thematic Area 1-Water management in the Nexus:</w:t>
            </w:r>
          </w:p>
          <w:p w:rsidR="00000000" w:rsidDel="00000000" w:rsidP="00000000" w:rsidRDefault="00000000" w:rsidRPr="00000000" w14:paraId="0000002C">
            <w:pPr>
              <w:numPr>
                <w:ilvl w:val="0"/>
                <w:numId w:val="6"/>
              </w:numPr>
              <w:ind w:left="720" w:hanging="360"/>
              <w:jc w:val="both"/>
              <w:rPr/>
            </w:pPr>
            <w:r w:rsidDel="00000000" w:rsidR="00000000" w:rsidRPr="00000000">
              <w:rPr>
                <w:rtl w:val="0"/>
              </w:rPr>
              <w:t xml:space="preserve">Topic 2.1.1-2025 (RIA) Enhancing Policy Development through Impact-Driven Water Footprint and Virtual Water Concepts in the Mediterranean Region</w:t>
            </w:r>
          </w:p>
          <w:p w:rsidR="00000000" w:rsidDel="00000000" w:rsidP="00000000" w:rsidRDefault="00000000" w:rsidRPr="00000000" w14:paraId="0000002D">
            <w:pPr>
              <w:ind w:left="720" w:firstLine="0"/>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t xml:space="preserve">Thematic Area 2-Farming systems in the Nexus:</w:t>
            </w:r>
          </w:p>
          <w:p w:rsidR="00000000" w:rsidDel="00000000" w:rsidP="00000000" w:rsidRDefault="00000000" w:rsidRPr="00000000" w14:paraId="0000002F">
            <w:pPr>
              <w:numPr>
                <w:ilvl w:val="0"/>
                <w:numId w:val="9"/>
              </w:numPr>
              <w:ind w:left="720" w:hanging="360"/>
              <w:jc w:val="both"/>
              <w:rPr/>
            </w:pPr>
            <w:r w:rsidDel="00000000" w:rsidR="00000000" w:rsidRPr="00000000">
              <w:rPr>
                <w:rtl w:val="0"/>
              </w:rPr>
              <w:t xml:space="preserve">Topic 2.2.1-2025 (RIA) Upscaling Agroecology Practices at the Farm Level in the Mediterranean</w:t>
            </w:r>
          </w:p>
          <w:p w:rsidR="00000000" w:rsidDel="00000000" w:rsidP="00000000" w:rsidRDefault="00000000" w:rsidRPr="00000000" w14:paraId="00000030">
            <w:pPr>
              <w:ind w:left="720" w:firstLine="0"/>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t xml:space="preserve">Thematic Area 3-Food value chain in the Nexus:</w:t>
            </w:r>
          </w:p>
          <w:p w:rsidR="00000000" w:rsidDel="00000000" w:rsidP="00000000" w:rsidRDefault="00000000" w:rsidRPr="00000000" w14:paraId="00000032">
            <w:pPr>
              <w:numPr>
                <w:ilvl w:val="0"/>
                <w:numId w:val="7"/>
              </w:numPr>
              <w:ind w:left="720" w:hanging="360"/>
              <w:jc w:val="both"/>
              <w:rPr/>
            </w:pPr>
            <w:r w:rsidDel="00000000" w:rsidR="00000000" w:rsidRPr="00000000">
              <w:rPr>
                <w:rtl w:val="0"/>
              </w:rPr>
              <w:t xml:space="preserve">Topic 2.3.1-2025 (RIA) Towards a Plant-Based Alternative Protein products Transition in the Mediterranean Region</w:t>
            </w:r>
          </w:p>
          <w:p w:rsidR="00000000" w:rsidDel="00000000" w:rsidP="00000000" w:rsidRDefault="00000000" w:rsidRPr="00000000" w14:paraId="00000033">
            <w:pPr>
              <w:ind w:left="720" w:firstLine="0"/>
              <w:jc w:val="both"/>
              <w:rPr/>
            </w:pPr>
            <w:r w:rsidDel="00000000" w:rsidR="00000000" w:rsidRPr="00000000">
              <w:rPr>
                <w:rtl w:val="0"/>
              </w:rPr>
            </w:r>
          </w:p>
          <w:p w:rsidR="00000000" w:rsidDel="00000000" w:rsidP="00000000" w:rsidRDefault="00000000" w:rsidRPr="00000000" w14:paraId="00000034">
            <w:pPr>
              <w:jc w:val="both"/>
              <w:rPr>
                <w:rFonts w:ascii="Arial" w:cs="Arial" w:eastAsia="Arial" w:hAnsi="Arial"/>
                <w:highlight w:val="white"/>
              </w:rPr>
            </w:pPr>
            <w:r w:rsidDel="00000000" w:rsidR="00000000" w:rsidRPr="00000000">
              <w:rPr>
                <w:rtl w:val="0"/>
              </w:rPr>
              <w:t xml:space="preserve">Maggiori informazioni relative ai topic della Section 2 sono reperibili nel </w:t>
            </w:r>
            <w:r w:rsidDel="00000000" w:rsidR="00000000" w:rsidRPr="00000000">
              <w:rPr>
                <w:b w:val="1"/>
                <w:rtl w:val="0"/>
              </w:rPr>
              <w:t xml:space="preserve">Annual Work Plan 2025</w:t>
            </w:r>
            <w:r w:rsidDel="00000000" w:rsidR="00000000" w:rsidRPr="00000000">
              <w:rPr>
                <w:rtl w:val="0"/>
              </w:rPr>
              <w:t xml:space="preserve"> e nel </w:t>
            </w:r>
            <w:r w:rsidDel="00000000" w:rsidR="00000000" w:rsidRPr="00000000">
              <w:rPr>
                <w:b w:val="1"/>
                <w:rtl w:val="0"/>
              </w:rPr>
              <w:t xml:space="preserve">Call Text Section 2</w:t>
            </w:r>
            <w:r w:rsidDel="00000000" w:rsidR="00000000" w:rsidRPr="00000000">
              <w:rPr>
                <w:rtl w:val="0"/>
              </w:rPr>
              <w:t xml:space="preserve">, disponibili sul sito del Programma PRIMA al seguente link: </w:t>
            </w:r>
            <w:hyperlink r:id="rId9">
              <w:r w:rsidDel="00000000" w:rsidR="00000000" w:rsidRPr="00000000">
                <w:rPr>
                  <w:color w:val="1155cc"/>
                  <w:u w:val="single"/>
                  <w:rtl w:val="0"/>
                </w:rPr>
                <w:t xml:space="preserve">https://prima-med.org/submit-your-project/section-2-multi-topics-2024/</w:t>
              </w:r>
            </w:hyperlink>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36">
            <w:pPr>
              <w:spacing w:after="240" w:lineRule="auto"/>
              <w:rPr>
                <w:b w:val="1"/>
              </w:rPr>
            </w:pPr>
            <w:r w:rsidDel="00000000" w:rsidR="00000000" w:rsidRPr="00000000">
              <w:rPr>
                <w:b w:val="1"/>
                <w:rtl w:val="0"/>
              </w:rPr>
              <w:t xml:space="preserve">Requisiti: </w:t>
            </w:r>
          </w:p>
        </w:tc>
        <w:tc>
          <w:tcPr>
            <w:gridSpan w:val="2"/>
          </w:tcPr>
          <w:p w:rsidR="00000000" w:rsidDel="00000000" w:rsidP="00000000" w:rsidRDefault="00000000" w:rsidRPr="00000000" w14:paraId="00000037">
            <w:pPr>
              <w:numPr>
                <w:ilvl w:val="0"/>
                <w:numId w:val="8"/>
              </w:numPr>
              <w:ind w:left="720" w:hanging="360"/>
              <w:jc w:val="both"/>
              <w:rPr/>
            </w:pPr>
            <w:r w:rsidDel="00000000" w:rsidR="00000000" w:rsidRPr="00000000">
              <w:rPr>
                <w:rtl w:val="0"/>
              </w:rPr>
              <w:t xml:space="preserve">Il numero minimo ammissibile di partner per un progetto è di 4 partner di almeno 3 nazioni differenti. In particolare, in ogni progetto devono esserci:</w:t>
            </w:r>
          </w:p>
          <w:p w:rsidR="00000000" w:rsidDel="00000000" w:rsidP="00000000" w:rsidRDefault="00000000" w:rsidRPr="00000000" w14:paraId="00000038">
            <w:pPr>
              <w:numPr>
                <w:ilvl w:val="1"/>
                <w:numId w:val="8"/>
              </w:numPr>
              <w:ind w:left="1440" w:hanging="360"/>
              <w:jc w:val="both"/>
              <w:rPr/>
            </w:pPr>
            <w:r w:rsidDel="00000000" w:rsidR="00000000" w:rsidRPr="00000000">
              <w:rPr>
                <w:rtl w:val="0"/>
              </w:rPr>
              <w:t xml:space="preserve">Almeno un partner localizzato in un Paese EU o associato con il Programma quadro purché non MPC (vedasi punto seguente)</w:t>
            </w:r>
          </w:p>
          <w:p w:rsidR="00000000" w:rsidDel="00000000" w:rsidP="00000000" w:rsidRDefault="00000000" w:rsidRPr="00000000" w14:paraId="00000039">
            <w:pPr>
              <w:numPr>
                <w:ilvl w:val="1"/>
                <w:numId w:val="8"/>
              </w:numPr>
              <w:ind w:left="1440" w:hanging="360"/>
              <w:jc w:val="both"/>
              <w:rPr/>
            </w:pPr>
            <w:r w:rsidDel="00000000" w:rsidR="00000000" w:rsidRPr="00000000">
              <w:rPr>
                <w:rtl w:val="0"/>
              </w:rPr>
              <w:t xml:space="preserve">Almeno due partner localizzati in uno o due paesi MPC (Algeria, Egitto, Giordania, Israele, Libano, Marocco, Tunisia e Turchia)</w:t>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numPr>
                <w:ilvl w:val="0"/>
                <w:numId w:val="5"/>
              </w:numPr>
              <w:ind w:left="720" w:hanging="360"/>
              <w:jc w:val="both"/>
              <w:rPr/>
            </w:pPr>
            <w:r w:rsidDel="00000000" w:rsidR="00000000" w:rsidRPr="00000000">
              <w:rPr>
                <w:rtl w:val="0"/>
              </w:rPr>
              <w:t xml:space="preserve">Sono soggetti ammissibili agli interventi di cui al presente Avviso a valere sui fondi </w:t>
            </w:r>
            <w:r w:rsidDel="00000000" w:rsidR="00000000" w:rsidRPr="00000000">
              <w:rPr>
                <w:b w:val="1"/>
                <w:color w:val="ff0000"/>
                <w:rtl w:val="0"/>
              </w:rPr>
              <w:t xml:space="preserve">MUR FIRST</w:t>
            </w:r>
            <w:r w:rsidDel="00000000" w:rsidR="00000000" w:rsidRPr="00000000">
              <w:rPr>
                <w:rtl w:val="0"/>
              </w:rPr>
              <w:t xml:space="preserve">:</w:t>
            </w:r>
          </w:p>
          <w:p w:rsidR="00000000" w:rsidDel="00000000" w:rsidP="00000000" w:rsidRDefault="00000000" w:rsidRPr="00000000" w14:paraId="0000003C">
            <w:pPr>
              <w:numPr>
                <w:ilvl w:val="1"/>
                <w:numId w:val="5"/>
              </w:numPr>
              <w:ind w:left="1440" w:hanging="360"/>
              <w:jc w:val="both"/>
              <w:rPr/>
            </w:pPr>
            <w:r w:rsidDel="00000000" w:rsidR="00000000" w:rsidRPr="00000000">
              <w:rPr>
                <w:rtl w:val="0"/>
              </w:rPr>
              <w:t xml:space="preserve">Università e loro consorzi</w:t>
            </w:r>
          </w:p>
          <w:p w:rsidR="00000000" w:rsidDel="00000000" w:rsidP="00000000" w:rsidRDefault="00000000" w:rsidRPr="00000000" w14:paraId="0000003D">
            <w:pPr>
              <w:numPr>
                <w:ilvl w:val="1"/>
                <w:numId w:val="5"/>
              </w:numPr>
              <w:ind w:left="1440" w:hanging="360"/>
              <w:jc w:val="both"/>
              <w:rPr/>
            </w:pPr>
            <w:r w:rsidDel="00000000" w:rsidR="00000000" w:rsidRPr="00000000">
              <w:rPr>
                <w:rtl w:val="0"/>
              </w:rPr>
              <w:t xml:space="preserve">Enti di ricerca, pubblici e privati</w:t>
            </w:r>
          </w:p>
          <w:p w:rsidR="00000000" w:rsidDel="00000000" w:rsidP="00000000" w:rsidRDefault="00000000" w:rsidRPr="00000000" w14:paraId="0000003E">
            <w:pPr>
              <w:numPr>
                <w:ilvl w:val="1"/>
                <w:numId w:val="5"/>
              </w:numPr>
              <w:ind w:left="1440" w:hanging="360"/>
              <w:jc w:val="both"/>
              <w:rPr/>
            </w:pPr>
            <w:r w:rsidDel="00000000" w:rsidR="00000000" w:rsidRPr="00000000">
              <w:rPr>
                <w:rtl w:val="0"/>
              </w:rPr>
              <w:t xml:space="preserve">Organismi di ricerca pubblici e privati</w:t>
            </w:r>
          </w:p>
          <w:p w:rsidR="00000000" w:rsidDel="00000000" w:rsidP="00000000" w:rsidRDefault="00000000" w:rsidRPr="00000000" w14:paraId="0000003F">
            <w:pPr>
              <w:numPr>
                <w:ilvl w:val="1"/>
                <w:numId w:val="5"/>
              </w:numPr>
              <w:ind w:left="1440" w:hanging="360"/>
              <w:jc w:val="both"/>
              <w:rPr/>
            </w:pPr>
            <w:r w:rsidDel="00000000" w:rsidR="00000000" w:rsidRPr="00000000">
              <w:rPr>
                <w:rtl w:val="0"/>
              </w:rPr>
              <w:t xml:space="preserve">Imprese (legalmente iscritte nel Registro delle Imprese);</w:t>
            </w:r>
          </w:p>
          <w:p w:rsidR="00000000" w:rsidDel="00000000" w:rsidP="00000000" w:rsidRDefault="00000000" w:rsidRPr="00000000" w14:paraId="00000040">
            <w:pPr>
              <w:numPr>
                <w:ilvl w:val="1"/>
                <w:numId w:val="5"/>
              </w:numPr>
              <w:spacing w:after="240" w:lineRule="auto"/>
              <w:ind w:left="1440" w:hanging="360"/>
              <w:jc w:val="both"/>
              <w:rPr/>
            </w:pPr>
            <w:r w:rsidDel="00000000" w:rsidR="00000000" w:rsidRPr="00000000">
              <w:rPr>
                <w:rtl w:val="0"/>
              </w:rPr>
              <w:t xml:space="preserve">Altri soggetti di natura non economica incluse Fondazioni e Associazioni legalmente riconosciute</w:t>
            </w:r>
          </w:p>
          <w:p w:rsidR="00000000" w:rsidDel="00000000" w:rsidP="00000000" w:rsidRDefault="00000000" w:rsidRPr="00000000" w14:paraId="00000041">
            <w:pPr>
              <w:numPr>
                <w:ilvl w:val="1"/>
                <w:numId w:val="5"/>
              </w:numPr>
              <w:spacing w:after="240" w:lineRule="auto"/>
              <w:ind w:left="1440" w:hanging="360"/>
              <w:jc w:val="both"/>
              <w:rPr/>
            </w:pPr>
            <w:r w:rsidDel="00000000" w:rsidR="00000000" w:rsidRPr="00000000">
              <w:rPr>
                <w:rtl w:val="0"/>
              </w:rPr>
              <w:t xml:space="preserve">I soggetti devono avere sede o stabile organizzazione sul territorio nazionale e, all’atto della presentazione della domanda, devono altresì rispettare le condizioni di ammissibilità </w:t>
            </w:r>
          </w:p>
          <w:p w:rsidR="00000000" w:rsidDel="00000000" w:rsidP="00000000" w:rsidRDefault="00000000" w:rsidRPr="00000000" w14:paraId="00000042">
            <w:pPr>
              <w:spacing w:after="240" w:lineRule="auto"/>
              <w:jc w:val="both"/>
              <w:rPr/>
            </w:pPr>
            <w:r w:rsidDel="00000000" w:rsidR="00000000" w:rsidRPr="00000000">
              <w:rPr>
                <w:rtl w:val="0"/>
              </w:rPr>
            </w:r>
          </w:p>
          <w:p w:rsidR="00000000" w:rsidDel="00000000" w:rsidP="00000000" w:rsidRDefault="00000000" w:rsidRPr="00000000" w14:paraId="00000043">
            <w:pPr>
              <w:numPr>
                <w:ilvl w:val="0"/>
                <w:numId w:val="5"/>
              </w:numPr>
              <w:ind w:left="720" w:hanging="360"/>
              <w:jc w:val="both"/>
              <w:rPr/>
            </w:pPr>
            <w:r w:rsidDel="00000000" w:rsidR="00000000" w:rsidRPr="00000000">
              <w:rPr>
                <w:rtl w:val="0"/>
              </w:rPr>
              <w:t xml:space="preserve">Sono soggetti ammissibili agli interventi di cui al presente Avviso a valere sui fondi </w:t>
            </w:r>
            <w:r w:rsidDel="00000000" w:rsidR="00000000" w:rsidRPr="00000000">
              <w:rPr>
                <w:b w:val="1"/>
                <w:color w:val="00ff00"/>
                <w:rtl w:val="0"/>
              </w:rPr>
              <w:t xml:space="preserve">MUR-FESR</w:t>
            </w:r>
            <w:r w:rsidDel="00000000" w:rsidR="00000000" w:rsidRPr="00000000">
              <w:rPr>
                <w:rtl w:val="0"/>
              </w:rPr>
              <w:t xml:space="preserve">, i soggetti di seguito elencati che svolgono attività di ricerca nelle Regioni Basilicata, Calabria, Campania, Molise, Puglia, Sardegna, Sicilia:</w:t>
            </w:r>
          </w:p>
          <w:p w:rsidR="00000000" w:rsidDel="00000000" w:rsidP="00000000" w:rsidRDefault="00000000" w:rsidRPr="00000000" w14:paraId="00000044">
            <w:pPr>
              <w:numPr>
                <w:ilvl w:val="1"/>
                <w:numId w:val="5"/>
              </w:numPr>
              <w:ind w:left="1440" w:hanging="360"/>
              <w:jc w:val="both"/>
              <w:rPr/>
            </w:pPr>
            <w:r w:rsidDel="00000000" w:rsidR="00000000" w:rsidRPr="00000000">
              <w:rPr>
                <w:rtl w:val="0"/>
              </w:rPr>
              <w:t xml:space="preserve">Imprese (legalmente iscritte nel Registro delle Imprese), a condizione che partecipino congiuntamente con almeno una PMI;</w:t>
            </w:r>
          </w:p>
          <w:p w:rsidR="00000000" w:rsidDel="00000000" w:rsidP="00000000" w:rsidRDefault="00000000" w:rsidRPr="00000000" w14:paraId="00000045">
            <w:pPr>
              <w:numPr>
                <w:ilvl w:val="1"/>
                <w:numId w:val="5"/>
              </w:numPr>
              <w:ind w:left="1440" w:hanging="360"/>
              <w:jc w:val="both"/>
              <w:rPr/>
            </w:pPr>
            <w:r w:rsidDel="00000000" w:rsidR="00000000" w:rsidRPr="00000000">
              <w:rPr>
                <w:rtl w:val="0"/>
              </w:rPr>
              <w:t xml:space="preserve">Università e loro consorzi, a condizione che partecipino congiuntamente con almeno una PMI;</w:t>
            </w:r>
          </w:p>
          <w:p w:rsidR="00000000" w:rsidDel="00000000" w:rsidP="00000000" w:rsidRDefault="00000000" w:rsidRPr="00000000" w14:paraId="00000046">
            <w:pPr>
              <w:numPr>
                <w:ilvl w:val="1"/>
                <w:numId w:val="5"/>
              </w:numPr>
              <w:ind w:left="1440" w:hanging="360"/>
              <w:jc w:val="both"/>
              <w:rPr/>
            </w:pPr>
            <w:r w:rsidDel="00000000" w:rsidR="00000000" w:rsidRPr="00000000">
              <w:rPr>
                <w:rtl w:val="0"/>
              </w:rPr>
              <w:t xml:space="preserve">Enti di ricerca, pubblici e privati che svolgono principalmente attività di ricerca, a condizione che partecipino congiuntamente con almeno una PMI;</w:t>
            </w:r>
          </w:p>
          <w:p w:rsidR="00000000" w:rsidDel="00000000" w:rsidP="00000000" w:rsidRDefault="00000000" w:rsidRPr="00000000" w14:paraId="00000047">
            <w:pPr>
              <w:numPr>
                <w:ilvl w:val="1"/>
                <w:numId w:val="5"/>
              </w:numPr>
              <w:ind w:left="1440" w:hanging="360"/>
              <w:jc w:val="both"/>
              <w:rPr/>
            </w:pPr>
            <w:r w:rsidDel="00000000" w:rsidR="00000000" w:rsidRPr="00000000">
              <w:rPr>
                <w:rtl w:val="0"/>
              </w:rPr>
              <w:t xml:space="preserve">Organismi di ricerca pubblici e privati, a condizione che partecipino congiuntamente con almeno una PMI.</w:t>
            </w:r>
          </w:p>
          <w:p w:rsidR="00000000" w:rsidDel="00000000" w:rsidP="00000000" w:rsidRDefault="00000000" w:rsidRPr="00000000" w14:paraId="00000048">
            <w:pPr>
              <w:numPr>
                <w:ilvl w:val="1"/>
                <w:numId w:val="5"/>
              </w:numPr>
              <w:ind w:left="1440" w:hanging="360"/>
              <w:jc w:val="both"/>
              <w:rPr/>
            </w:pPr>
            <w:r w:rsidDel="00000000" w:rsidR="00000000" w:rsidRPr="00000000">
              <w:rPr>
                <w:rtl w:val="0"/>
              </w:rPr>
              <w:t xml:space="preserve">Altri soggetti di natura non economica incluse Fondazioni e Associazioni legalmente riconosciute, a condizione che partecipino congiuntamente con almeno una PMI.</w:t>
            </w:r>
          </w:p>
          <w:p w:rsidR="00000000" w:rsidDel="00000000" w:rsidP="00000000" w:rsidRDefault="00000000" w:rsidRPr="00000000" w14:paraId="00000049">
            <w:pPr>
              <w:numPr>
                <w:ilvl w:val="1"/>
                <w:numId w:val="5"/>
              </w:numPr>
              <w:spacing w:after="240" w:lineRule="auto"/>
              <w:ind w:left="1440" w:hanging="360"/>
              <w:jc w:val="both"/>
              <w:rPr/>
            </w:pPr>
            <w:r w:rsidDel="00000000" w:rsidR="00000000" w:rsidRPr="00000000">
              <w:rPr>
                <w:rtl w:val="0"/>
              </w:rPr>
              <w:t xml:space="preserve">I soggetti devono avere sede o stabile organizzazione nelle seguenti regioni: Basilicata, Calabria, Campania, Molise, Puglia, Sardegna, Sicilia e, all’atto della presentazione della domanda, devono altresì rispettare le condizioni di ammissibilità di cui dall’Articolo 5, comma 1., del D.M. 1573/2024. </w:t>
            </w:r>
          </w:p>
          <w:p w:rsidR="00000000" w:rsidDel="00000000" w:rsidP="00000000" w:rsidRDefault="00000000" w:rsidRPr="00000000" w14:paraId="0000004A">
            <w:pPr>
              <w:spacing w:after="240" w:lineRule="auto"/>
              <w:jc w:val="both"/>
              <w:rPr/>
            </w:pPr>
            <w:r w:rsidDel="00000000" w:rsidR="00000000" w:rsidRPr="00000000">
              <w:rPr>
                <w:rtl w:val="0"/>
              </w:rPr>
            </w:r>
          </w:p>
          <w:p w:rsidR="00000000" w:rsidDel="00000000" w:rsidP="00000000" w:rsidRDefault="00000000" w:rsidRPr="00000000" w14:paraId="0000004B">
            <w:pPr>
              <w:numPr>
                <w:ilvl w:val="0"/>
                <w:numId w:val="5"/>
              </w:numPr>
              <w:spacing w:after="240" w:lineRule="auto"/>
              <w:ind w:left="720" w:hanging="360"/>
              <w:jc w:val="both"/>
              <w:rPr/>
            </w:pPr>
            <w:r w:rsidDel="00000000" w:rsidR="00000000" w:rsidRPr="00000000">
              <w:rPr>
                <w:rtl w:val="0"/>
              </w:rPr>
              <w:t xml:space="preserve">I soggetti di cui ai commi 1.e 2. sono ammissibili soltanto se non si trovano in condizione di morosità o mancata restituzione degli interessi di preammortamento ovvero delle rate di finanziamento concesso, fatte salve le situazioni legate all’emanazione di specifici provvedimenti di emergenza volti all’introduzione di moratorie temporanee sul pagamento di mutui e finanziamenti.</w:t>
            </w:r>
          </w:p>
          <w:p w:rsidR="00000000" w:rsidDel="00000000" w:rsidP="00000000" w:rsidRDefault="00000000" w:rsidRPr="00000000" w14:paraId="0000004C">
            <w:pPr>
              <w:spacing w:after="240" w:lineRule="auto"/>
              <w:jc w:val="both"/>
              <w:rPr/>
            </w:pPr>
            <w:r w:rsidDel="00000000" w:rsidR="00000000" w:rsidRPr="00000000">
              <w:rPr>
                <w:rtl w:val="0"/>
              </w:rPr>
            </w:r>
          </w:p>
          <w:p w:rsidR="00000000" w:rsidDel="00000000" w:rsidP="00000000" w:rsidRDefault="00000000" w:rsidRPr="00000000" w14:paraId="0000004D">
            <w:pPr>
              <w:numPr>
                <w:ilvl w:val="0"/>
                <w:numId w:val="5"/>
              </w:numPr>
              <w:spacing w:after="240" w:lineRule="auto"/>
              <w:ind w:left="720" w:hanging="360"/>
              <w:jc w:val="both"/>
              <w:rPr/>
            </w:pPr>
            <w:r w:rsidDel="00000000" w:rsidR="00000000" w:rsidRPr="00000000">
              <w:rPr>
                <w:rtl w:val="0"/>
              </w:rPr>
              <w:t xml:space="preserve">I soggetti di diritto privato che non soddisfano i requisiti economico-finanziari potranno essere ammessi al finanziamento in presenza di una polizza di garanzia a copertura dell’intero ammontare dell’importo totale di agevolazione da concedere.</w:t>
            </w:r>
          </w:p>
          <w:p w:rsidR="00000000" w:rsidDel="00000000" w:rsidP="00000000" w:rsidRDefault="00000000" w:rsidRPr="00000000" w14:paraId="0000004E">
            <w:pPr>
              <w:spacing w:after="240" w:lineRule="auto"/>
              <w:jc w:val="both"/>
              <w:rPr/>
            </w:pPr>
            <w:r w:rsidDel="00000000" w:rsidR="00000000" w:rsidRPr="00000000">
              <w:rPr>
                <w:rtl w:val="0"/>
              </w:rPr>
            </w:r>
          </w:p>
          <w:p w:rsidR="00000000" w:rsidDel="00000000" w:rsidP="00000000" w:rsidRDefault="00000000" w:rsidRPr="00000000" w14:paraId="0000004F">
            <w:pPr>
              <w:numPr>
                <w:ilvl w:val="0"/>
                <w:numId w:val="5"/>
              </w:numPr>
              <w:spacing w:after="240" w:lineRule="auto"/>
              <w:ind w:left="720" w:hanging="360"/>
              <w:jc w:val="both"/>
              <w:rPr/>
            </w:pPr>
            <w:r w:rsidDel="00000000" w:rsidR="00000000" w:rsidRPr="00000000">
              <w:rPr>
                <w:rtl w:val="0"/>
              </w:rPr>
              <w:t xml:space="preserve">Per la definizione di PMI si applicano i criteri stabiliti nell’Allegato I del Regolamento (UE) n. 651/2014 della Commissione del 17 giugno 2014, richiamato in premessa.</w:t>
            </w:r>
          </w:p>
          <w:p w:rsidR="00000000" w:rsidDel="00000000" w:rsidP="00000000" w:rsidRDefault="00000000" w:rsidRPr="00000000" w14:paraId="00000050">
            <w:pPr>
              <w:spacing w:after="240" w:lineRule="auto"/>
              <w:jc w:val="both"/>
              <w:rPr/>
            </w:pPr>
            <w:r w:rsidDel="00000000" w:rsidR="00000000" w:rsidRPr="00000000">
              <w:rPr>
                <w:rtl w:val="0"/>
              </w:rPr>
            </w:r>
          </w:p>
          <w:p w:rsidR="00000000" w:rsidDel="00000000" w:rsidP="00000000" w:rsidRDefault="00000000" w:rsidRPr="00000000" w14:paraId="00000051">
            <w:pPr>
              <w:numPr>
                <w:ilvl w:val="0"/>
                <w:numId w:val="5"/>
              </w:numPr>
              <w:spacing w:after="240" w:lineRule="auto"/>
              <w:ind w:left="720" w:hanging="360"/>
              <w:jc w:val="both"/>
              <w:rPr/>
            </w:pPr>
            <w:r w:rsidDel="00000000" w:rsidR="00000000" w:rsidRPr="00000000">
              <w:rPr>
                <w:rtl w:val="0"/>
              </w:rPr>
              <w:t xml:space="preserve">Nel caso di presentazione della domanda al MUR da parte di più soggetti congiuntamente, al fine di semplificare i rapporti istruttori e di ottimizzare l’azione amministrativa, gli stessi individuano tra loro un soggetto capofila che dovrà assolvere i compiti descritti nell’art. 5, comma 5. e comma 6., del D.M. 1573/2024;</w:t>
            </w:r>
          </w:p>
          <w:p w:rsidR="00000000" w:rsidDel="00000000" w:rsidP="00000000" w:rsidRDefault="00000000" w:rsidRPr="00000000" w14:paraId="00000052">
            <w:pPr>
              <w:spacing w:after="240" w:lineRule="auto"/>
              <w:jc w:val="both"/>
              <w:rPr/>
            </w:pPr>
            <w:r w:rsidDel="00000000" w:rsidR="00000000" w:rsidRPr="00000000">
              <w:rPr>
                <w:rtl w:val="0"/>
              </w:rPr>
            </w:r>
          </w:p>
          <w:p w:rsidR="00000000" w:rsidDel="00000000" w:rsidP="00000000" w:rsidRDefault="00000000" w:rsidRPr="00000000" w14:paraId="00000053">
            <w:pPr>
              <w:numPr>
                <w:ilvl w:val="0"/>
                <w:numId w:val="5"/>
              </w:numPr>
              <w:spacing w:after="240" w:lineRule="auto"/>
              <w:ind w:left="720" w:hanging="360"/>
              <w:jc w:val="both"/>
              <w:rPr/>
            </w:pPr>
            <w:r w:rsidDel="00000000" w:rsidR="00000000" w:rsidRPr="00000000">
              <w:rPr>
                <w:rtl w:val="0"/>
              </w:rPr>
              <w:t xml:space="preserve">I soggetti di cui ai commi 1.e 2. potranno essere ammessi al finanziamento soltanto previa iscrizione all’Anagrafe Nazionale delle Ricerche;</w:t>
            </w:r>
          </w:p>
          <w:p w:rsidR="00000000" w:rsidDel="00000000" w:rsidP="00000000" w:rsidRDefault="00000000" w:rsidRPr="00000000" w14:paraId="00000054">
            <w:pPr>
              <w:spacing w:after="240" w:lineRule="auto"/>
              <w:jc w:val="both"/>
              <w:rPr/>
            </w:pPr>
            <w:r w:rsidDel="00000000" w:rsidR="00000000" w:rsidRPr="00000000">
              <w:rPr>
                <w:rtl w:val="0"/>
              </w:rPr>
            </w:r>
          </w:p>
          <w:p w:rsidR="00000000" w:rsidDel="00000000" w:rsidP="00000000" w:rsidRDefault="00000000" w:rsidRPr="00000000" w14:paraId="00000055">
            <w:pPr>
              <w:numPr>
                <w:ilvl w:val="0"/>
                <w:numId w:val="5"/>
              </w:numPr>
              <w:spacing w:after="240" w:lineRule="auto"/>
              <w:ind w:left="720" w:hanging="360"/>
              <w:jc w:val="both"/>
              <w:rPr/>
            </w:pPr>
            <w:r w:rsidDel="00000000" w:rsidR="00000000" w:rsidRPr="00000000">
              <w:rPr>
                <w:rtl w:val="0"/>
              </w:rPr>
              <w:t xml:space="preserve">La stessa proposta progettuale non può essere presentata in entrambe le sezioni 1 e 2 del bando PRIMA.</w:t>
            </w:r>
          </w:p>
          <w:p w:rsidR="00000000" w:rsidDel="00000000" w:rsidP="00000000" w:rsidRDefault="00000000" w:rsidRPr="00000000" w14:paraId="00000056">
            <w:pPr>
              <w:spacing w:after="240" w:lineRule="auto"/>
              <w:jc w:val="both"/>
              <w:rPr/>
            </w:pPr>
            <w:r w:rsidDel="00000000" w:rsidR="00000000" w:rsidRPr="00000000">
              <w:rPr>
                <w:rtl w:val="0"/>
              </w:rPr>
            </w:r>
          </w:p>
          <w:p w:rsidR="00000000" w:rsidDel="00000000" w:rsidP="00000000" w:rsidRDefault="00000000" w:rsidRPr="00000000" w14:paraId="00000057">
            <w:pPr>
              <w:numPr>
                <w:ilvl w:val="0"/>
                <w:numId w:val="5"/>
              </w:numPr>
              <w:spacing w:after="240" w:lineRule="auto"/>
              <w:ind w:left="720" w:hanging="360"/>
              <w:jc w:val="both"/>
              <w:rPr/>
            </w:pPr>
            <w:r w:rsidDel="00000000" w:rsidR="00000000" w:rsidRPr="00000000">
              <w:rPr>
                <w:rtl w:val="0"/>
              </w:rPr>
              <w:t xml:space="preserve">Un coordinatore (inteso come persona e non come istituzione) non può presentare più di una proposta all'anno ai bandi PRIMA, indipendentemente dalla sezione.</w:t>
            </w:r>
          </w:p>
          <w:p w:rsidR="00000000" w:rsidDel="00000000" w:rsidP="00000000" w:rsidRDefault="00000000" w:rsidRPr="00000000" w14:paraId="00000058">
            <w:pPr>
              <w:spacing w:after="240" w:lineRule="auto"/>
              <w:jc w:val="both"/>
              <w:rPr/>
            </w:pPr>
            <w:r w:rsidDel="00000000" w:rsidR="00000000" w:rsidRPr="00000000">
              <w:rPr>
                <w:rtl w:val="0"/>
              </w:rPr>
            </w:r>
          </w:p>
          <w:p w:rsidR="00000000" w:rsidDel="00000000" w:rsidP="00000000" w:rsidRDefault="00000000" w:rsidRPr="00000000" w14:paraId="00000059">
            <w:pPr>
              <w:numPr>
                <w:ilvl w:val="0"/>
                <w:numId w:val="8"/>
              </w:numPr>
              <w:ind w:left="720" w:hanging="360"/>
              <w:jc w:val="both"/>
              <w:rPr/>
            </w:pPr>
            <w:r w:rsidDel="00000000" w:rsidR="00000000" w:rsidRPr="00000000">
              <w:rPr>
                <w:color w:val="ff0000"/>
                <w:rtl w:val="0"/>
              </w:rPr>
              <w:t xml:space="preserve">Il bando è strutturato su un'unica fase che si chiuderà l'8 luglio 2025 </w:t>
            </w:r>
            <w:r w:rsidDel="00000000" w:rsidR="00000000" w:rsidRPr="00000000">
              <w:rPr>
                <w:rtl w:val="0"/>
              </w:rPr>
              <w:t xml:space="preserve">alle ore 17:00 (CET). Entro questa data si devono presentare sia la proposta internazionale sull'Online Submission System di PRIMA, sia la domanda nazionale attraverso la piattaforma web </w:t>
            </w:r>
            <w:hyperlink r:id="rId10">
              <w:r w:rsidDel="00000000" w:rsidR="00000000" w:rsidRPr="00000000">
                <w:rPr>
                  <w:color w:val="1155cc"/>
                  <w:u w:val="single"/>
                  <w:rtl w:val="0"/>
                </w:rPr>
                <w:t xml:space="preserve">https://banditransnazionali.mur.gov.it</w:t>
              </w:r>
            </w:hyperlink>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5B">
            <w:pPr>
              <w:spacing w:after="240" w:lineRule="auto"/>
              <w:rPr>
                <w:b w:val="1"/>
              </w:rPr>
            </w:pPr>
            <w:r w:rsidDel="00000000" w:rsidR="00000000" w:rsidRPr="00000000">
              <w:rPr>
                <w:b w:val="1"/>
                <w:rtl w:val="0"/>
              </w:rPr>
              <w:t xml:space="preserve">Soggetti responsabili/ammessi:</w:t>
            </w:r>
          </w:p>
        </w:tc>
        <w:tc>
          <w:tcPr>
            <w:gridSpan w:val="2"/>
          </w:tcPr>
          <w:p w:rsidR="00000000" w:rsidDel="00000000" w:rsidP="00000000" w:rsidRDefault="00000000" w:rsidRPr="00000000" w14:paraId="0000005C">
            <w:pPr>
              <w:spacing w:after="120" w:before="240" w:lineRule="auto"/>
              <w:rPr>
                <w:b w:val="1"/>
              </w:rPr>
            </w:pPr>
            <w:r w:rsidDel="00000000" w:rsidR="00000000" w:rsidRPr="00000000">
              <w:rPr>
                <w:b w:val="1"/>
                <w:rtl w:val="0"/>
              </w:rPr>
              <w:t xml:space="preserve">Università:</w:t>
            </w:r>
          </w:p>
          <w:p w:rsidR="00000000" w:rsidDel="00000000" w:rsidP="00000000" w:rsidRDefault="00000000" w:rsidRPr="00000000" w14:paraId="0000005D">
            <w:pPr>
              <w:spacing w:after="120" w:lineRule="auto"/>
              <w:rPr>
                <w:b w:val="1"/>
              </w:rPr>
            </w:pPr>
            <w:r w:rsidDel="00000000" w:rsidR="00000000" w:rsidRPr="00000000">
              <w:rPr>
                <w:rFonts w:ascii="MS Gothic" w:cs="MS Gothic" w:eastAsia="MS Gothic" w:hAnsi="MS Gothic"/>
                <w:b w:val="1"/>
                <w:rtl w:val="0"/>
              </w:rPr>
              <w:t xml:space="preserve">X☐</w:t>
            </w:r>
            <w:r w:rsidDel="00000000" w:rsidR="00000000" w:rsidRPr="00000000">
              <w:rPr>
                <w:b w:val="1"/>
                <w:rtl w:val="0"/>
              </w:rPr>
              <w:t xml:space="preserve"> Sì</w:t>
            </w:r>
          </w:p>
          <w:p w:rsidR="00000000" w:rsidDel="00000000" w:rsidP="00000000" w:rsidRDefault="00000000" w:rsidRPr="00000000" w14:paraId="0000005E">
            <w:pPr>
              <w:spacing w:after="120" w:lineRule="auto"/>
              <w:rPr>
                <w:b w:val="1"/>
              </w:rPr>
            </w:pP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 No </w:t>
            </w:r>
          </w:p>
          <w:p w:rsidR="00000000" w:rsidDel="00000000" w:rsidP="00000000" w:rsidRDefault="00000000" w:rsidRPr="00000000" w14:paraId="0000005F">
            <w:pPr>
              <w:spacing w:after="240" w:lineRule="auto"/>
              <w:rPr>
                <w:b w:val="1"/>
              </w:rPr>
            </w:pPr>
            <w:r w:rsidDel="00000000" w:rsidR="00000000" w:rsidRPr="00000000">
              <w:rPr>
                <w:b w:val="1"/>
                <w:rtl w:val="0"/>
              </w:rPr>
              <w:t xml:space="preserve">Altri soggetti responsabili/ ammessi:</w:t>
            </w:r>
          </w:p>
          <w:p w:rsidR="00000000" w:rsidDel="00000000" w:rsidP="00000000" w:rsidRDefault="00000000" w:rsidRPr="00000000" w14:paraId="00000060">
            <w:pPr>
              <w:numPr>
                <w:ilvl w:val="0"/>
                <w:numId w:val="5"/>
              </w:numPr>
              <w:ind w:left="720" w:hanging="360"/>
              <w:jc w:val="both"/>
              <w:rPr>
                <w:i w:val="1"/>
              </w:rPr>
            </w:pPr>
            <w:r w:rsidDel="00000000" w:rsidR="00000000" w:rsidRPr="00000000">
              <w:rPr>
                <w:i w:val="1"/>
                <w:rtl w:val="0"/>
              </w:rPr>
              <w:t xml:space="preserve">Università e loro consorzi</w:t>
            </w:r>
          </w:p>
          <w:p w:rsidR="00000000" w:rsidDel="00000000" w:rsidP="00000000" w:rsidRDefault="00000000" w:rsidRPr="00000000" w14:paraId="00000061">
            <w:pPr>
              <w:numPr>
                <w:ilvl w:val="0"/>
                <w:numId w:val="5"/>
              </w:numPr>
              <w:ind w:left="720" w:hanging="360"/>
              <w:jc w:val="both"/>
              <w:rPr>
                <w:i w:val="1"/>
              </w:rPr>
            </w:pPr>
            <w:r w:rsidDel="00000000" w:rsidR="00000000" w:rsidRPr="00000000">
              <w:rPr>
                <w:i w:val="1"/>
                <w:rtl w:val="0"/>
              </w:rPr>
              <w:t xml:space="preserve">Enti di ricerca, pubblici e privati</w:t>
            </w:r>
          </w:p>
          <w:p w:rsidR="00000000" w:rsidDel="00000000" w:rsidP="00000000" w:rsidRDefault="00000000" w:rsidRPr="00000000" w14:paraId="00000062">
            <w:pPr>
              <w:numPr>
                <w:ilvl w:val="0"/>
                <w:numId w:val="5"/>
              </w:numPr>
              <w:ind w:left="720" w:hanging="360"/>
              <w:jc w:val="both"/>
              <w:rPr>
                <w:i w:val="1"/>
              </w:rPr>
            </w:pPr>
            <w:r w:rsidDel="00000000" w:rsidR="00000000" w:rsidRPr="00000000">
              <w:rPr>
                <w:i w:val="1"/>
                <w:rtl w:val="0"/>
              </w:rPr>
              <w:t xml:space="preserve">Organismi di ricerca pubblici e privati</w:t>
            </w:r>
          </w:p>
          <w:p w:rsidR="00000000" w:rsidDel="00000000" w:rsidP="00000000" w:rsidRDefault="00000000" w:rsidRPr="00000000" w14:paraId="00000063">
            <w:pPr>
              <w:numPr>
                <w:ilvl w:val="0"/>
                <w:numId w:val="5"/>
              </w:numPr>
              <w:ind w:left="720" w:hanging="360"/>
              <w:jc w:val="both"/>
              <w:rPr>
                <w:i w:val="1"/>
              </w:rPr>
            </w:pPr>
            <w:r w:rsidDel="00000000" w:rsidR="00000000" w:rsidRPr="00000000">
              <w:rPr>
                <w:i w:val="1"/>
                <w:rtl w:val="0"/>
              </w:rPr>
              <w:t xml:space="preserve">Imprese (legalmente iscritte nel Registro delle Imprese);</w:t>
            </w:r>
          </w:p>
          <w:p w:rsidR="00000000" w:rsidDel="00000000" w:rsidP="00000000" w:rsidRDefault="00000000" w:rsidRPr="00000000" w14:paraId="00000064">
            <w:pPr>
              <w:numPr>
                <w:ilvl w:val="0"/>
                <w:numId w:val="5"/>
              </w:numPr>
              <w:spacing w:after="240" w:lineRule="auto"/>
              <w:ind w:left="720" w:hanging="360"/>
              <w:jc w:val="both"/>
              <w:rPr>
                <w:i w:val="1"/>
              </w:rPr>
            </w:pPr>
            <w:r w:rsidDel="00000000" w:rsidR="00000000" w:rsidRPr="00000000">
              <w:rPr>
                <w:i w:val="1"/>
                <w:rtl w:val="0"/>
              </w:rPr>
              <w:t xml:space="preserve">Altri soggetti di natura non economica incluse Fondazioni e Associazioni legalmente riconosciute</w:t>
            </w:r>
          </w:p>
        </w:tc>
      </w:tr>
      <w:tr>
        <w:trPr>
          <w:cantSplit w:val="0"/>
          <w:tblHeader w:val="0"/>
        </w:trPr>
        <w:tc>
          <w:tcPr>
            <w:shd w:fill="f2f2f2" w:val="clear"/>
          </w:tcPr>
          <w:p w:rsidR="00000000" w:rsidDel="00000000" w:rsidP="00000000" w:rsidRDefault="00000000" w:rsidRPr="00000000" w14:paraId="00000066">
            <w:pPr>
              <w:spacing w:after="240" w:lineRule="auto"/>
              <w:rPr>
                <w:b w:val="1"/>
              </w:rPr>
            </w:pPr>
            <w:r w:rsidDel="00000000" w:rsidR="00000000" w:rsidRPr="00000000">
              <w:rPr>
                <w:b w:val="1"/>
                <w:rtl w:val="0"/>
              </w:rPr>
              <w:t xml:space="preserve">Link: </w:t>
            </w:r>
          </w:p>
        </w:tc>
        <w:tc>
          <w:tcPr>
            <w:gridSpan w:val="2"/>
          </w:tcPr>
          <w:p w:rsidR="00000000" w:rsidDel="00000000" w:rsidP="00000000" w:rsidRDefault="00000000" w:rsidRPr="00000000" w14:paraId="00000067">
            <w:pPr>
              <w:rPr/>
            </w:pPr>
            <w:hyperlink r:id="rId11">
              <w:r w:rsidDel="00000000" w:rsidR="00000000" w:rsidRPr="00000000">
                <w:rPr>
                  <w:color w:val="1155cc"/>
                  <w:u w:val="single"/>
                  <w:rtl w:val="0"/>
                </w:rPr>
                <w:t xml:space="preserve">Application</w:t>
              </w:r>
            </w:hyperlink>
            <w:r w:rsidDel="00000000" w:rsidR="00000000" w:rsidRPr="00000000">
              <w:rPr>
                <w:rtl w:val="0"/>
              </w:rPr>
              <w:t xml:space="preserve"> </w:t>
            </w:r>
          </w:p>
          <w:p w:rsidR="00000000" w:rsidDel="00000000" w:rsidP="00000000" w:rsidRDefault="00000000" w:rsidRPr="00000000" w14:paraId="00000068">
            <w:pPr>
              <w:rPr/>
            </w:pPr>
            <w:hyperlink r:id="rId12">
              <w:r w:rsidDel="00000000" w:rsidR="00000000" w:rsidRPr="00000000">
                <w:rPr>
                  <w:color w:val="1155cc"/>
                  <w:u w:val="single"/>
                  <w:rtl w:val="0"/>
                </w:rPr>
                <w:t xml:space="preserve">Guide for Application</w:t>
              </w:r>
            </w:hyperlink>
            <w:r w:rsidDel="00000000" w:rsidR="00000000" w:rsidRPr="00000000">
              <w:rPr>
                <w:rtl w:val="0"/>
              </w:rPr>
            </w:r>
          </w:p>
          <w:p w:rsidR="00000000" w:rsidDel="00000000" w:rsidP="00000000" w:rsidRDefault="00000000" w:rsidRPr="00000000" w14:paraId="00000069">
            <w:pPr>
              <w:rPr>
                <w:b w:val="1"/>
              </w:rPr>
            </w:pPr>
            <w:hyperlink r:id="rId13">
              <w:r w:rsidDel="00000000" w:rsidR="00000000" w:rsidRPr="00000000">
                <w:rPr>
                  <w:color w:val="1155cc"/>
                  <w:u w:val="single"/>
                  <w:rtl w:val="0"/>
                </w:rPr>
                <w:t xml:space="preserve">Sito web</w:t>
              </w:r>
            </w:hyperlink>
            <w:r w:rsidDel="00000000" w:rsidR="00000000" w:rsidRPr="00000000">
              <w:rPr>
                <w:rtl w:val="0"/>
              </w:rPr>
            </w:r>
          </w:p>
          <w:p w:rsidR="00000000" w:rsidDel="00000000" w:rsidP="00000000" w:rsidRDefault="00000000" w:rsidRPr="00000000" w14:paraId="0000006A">
            <w:pPr>
              <w:rPr/>
            </w:pPr>
            <w:hyperlink r:id="rId14">
              <w:r w:rsidDel="00000000" w:rsidR="00000000" w:rsidRPr="00000000">
                <w:rPr>
                  <w:color w:val="1155cc"/>
                  <w:u w:val="single"/>
                  <w:rtl w:val="0"/>
                </w:rPr>
                <w:t xml:space="preserve">Altri documenti</w:t>
              </w:r>
            </w:hyperlink>
            <w:r w:rsidDel="00000000" w:rsidR="00000000" w:rsidRPr="00000000">
              <w:rPr>
                <w:rtl w:val="0"/>
              </w:rPr>
            </w:r>
          </w:p>
          <w:p w:rsidR="00000000" w:rsidDel="00000000" w:rsidP="00000000" w:rsidRDefault="00000000" w:rsidRPr="00000000" w14:paraId="0000006B">
            <w:pPr>
              <w:rPr/>
            </w:pPr>
            <w:hyperlink r:id="rId15">
              <w:r w:rsidDel="00000000" w:rsidR="00000000" w:rsidRPr="00000000">
                <w:rPr>
                  <w:color w:val="1155cc"/>
                  <w:u w:val="single"/>
                  <w:rtl w:val="0"/>
                </w:rPr>
                <w:t xml:space="preserve">Bando</w:t>
              </w:r>
            </w:hyperlink>
            <w:r w:rsidDel="00000000" w:rsidR="00000000" w:rsidRPr="00000000">
              <w:rPr>
                <w:rtl w:val="0"/>
              </w:rPr>
            </w:r>
          </w:p>
        </w:tc>
      </w:tr>
      <w:tr>
        <w:trPr>
          <w:cantSplit w:val="0"/>
          <w:tblHeader w:val="0"/>
        </w:trPr>
        <w:tc>
          <w:tcPr>
            <w:gridSpan w:val="3"/>
          </w:tcPr>
          <w:p w:rsidR="00000000" w:rsidDel="00000000" w:rsidP="00000000" w:rsidRDefault="00000000" w:rsidRPr="00000000" w14:paraId="0000006D">
            <w:pPr>
              <w:rPr>
                <w:b w:val="1"/>
                <w:sz w:val="18"/>
                <w:szCs w:val="18"/>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070">
            <w:pPr>
              <w:spacing w:after="240" w:lineRule="auto"/>
              <w:rPr>
                <w:b w:val="1"/>
              </w:rPr>
            </w:pPr>
            <w:r w:rsidDel="00000000" w:rsidR="00000000" w:rsidRPr="00000000">
              <w:rPr>
                <w:b w:val="1"/>
                <w:rtl w:val="0"/>
              </w:rPr>
              <w:t xml:space="preserve">Scadenza domanda:</w:t>
            </w:r>
          </w:p>
        </w:tc>
        <w:tc>
          <w:tcPr>
            <w:gridSpan w:val="2"/>
            <w:shd w:fill="fff2cc" w:val="clear"/>
          </w:tcPr>
          <w:p w:rsidR="00000000" w:rsidDel="00000000" w:rsidP="00000000" w:rsidRDefault="00000000" w:rsidRPr="00000000" w14:paraId="00000071">
            <w:pPr>
              <w:spacing w:after="240" w:lineRule="auto"/>
              <w:rPr>
                <w:rFonts w:ascii="Arial" w:cs="Arial" w:eastAsia="Arial" w:hAnsi="Arial"/>
                <w:b w:val="1"/>
              </w:rPr>
            </w:pPr>
            <w:r w:rsidDel="00000000" w:rsidR="00000000" w:rsidRPr="00000000">
              <w:rPr>
                <w:rFonts w:ascii="Arial" w:cs="Arial" w:eastAsia="Arial" w:hAnsi="Arial"/>
                <w:b w:val="1"/>
                <w:rtl w:val="0"/>
              </w:rPr>
              <w:t xml:space="preserve">08/07/2025 ora 17:00</w:t>
            </w:r>
          </w:p>
        </w:tc>
      </w:tr>
      <w:tr>
        <w:trPr>
          <w:cantSplit w:val="0"/>
          <w:tblHeader w:val="0"/>
        </w:trPr>
        <w:tc>
          <w:tcPr>
            <w:shd w:fill="fff2cc" w:val="clear"/>
          </w:tcPr>
          <w:p w:rsidR="00000000" w:rsidDel="00000000" w:rsidP="00000000" w:rsidRDefault="00000000" w:rsidRPr="00000000" w14:paraId="00000073">
            <w:pPr>
              <w:spacing w:after="240" w:lineRule="auto"/>
              <w:rPr>
                <w:b w:val="1"/>
              </w:rPr>
            </w:pPr>
            <w:r w:rsidDel="00000000" w:rsidR="00000000" w:rsidRPr="00000000">
              <w:rPr>
                <w:b w:val="1"/>
                <w:rtl w:val="0"/>
              </w:rPr>
              <w:t xml:space="preserve">Finanziamento (Max/Min/Co-fin):</w:t>
            </w:r>
          </w:p>
        </w:tc>
        <w:tc>
          <w:tcPr>
            <w:gridSpan w:val="2"/>
            <w:shd w:fill="fff2cc" w:val="clear"/>
          </w:tcPr>
          <w:p w:rsidR="00000000" w:rsidDel="00000000" w:rsidP="00000000" w:rsidRDefault="00000000" w:rsidRPr="00000000" w14:paraId="00000074">
            <w:pPr>
              <w:spacing w:after="240" w:lineRule="auto"/>
              <w:jc w:val="both"/>
              <w:rPr/>
            </w:pPr>
            <w:r w:rsidDel="00000000" w:rsidR="00000000" w:rsidRPr="00000000">
              <w:rPr>
                <w:b w:val="1"/>
                <w:rtl w:val="0"/>
              </w:rPr>
              <w:t xml:space="preserve">Budget complessivo</w:t>
            </w:r>
            <w:r w:rsidDel="00000000" w:rsidR="00000000" w:rsidRPr="00000000">
              <w:rPr>
                <w:rtl w:val="0"/>
              </w:rPr>
              <w:t xml:space="preserve">: € 7.000.000,00</w:t>
            </w:r>
          </w:p>
          <w:p w:rsidR="00000000" w:rsidDel="00000000" w:rsidP="00000000" w:rsidRDefault="00000000" w:rsidRPr="00000000" w14:paraId="00000075">
            <w:pPr>
              <w:numPr>
                <w:ilvl w:val="0"/>
                <w:numId w:val="2"/>
              </w:numPr>
              <w:ind w:left="720" w:hanging="360"/>
              <w:jc w:val="both"/>
              <w:rPr/>
            </w:pPr>
            <w:r w:rsidDel="00000000" w:rsidR="00000000" w:rsidRPr="00000000">
              <w:rPr>
                <w:rtl w:val="0"/>
              </w:rPr>
              <w:t xml:space="preserve">Finanziamento FIRST: €4.000.000,00</w:t>
            </w:r>
          </w:p>
          <w:p w:rsidR="00000000" w:rsidDel="00000000" w:rsidP="00000000" w:rsidRDefault="00000000" w:rsidRPr="00000000" w14:paraId="00000076">
            <w:pPr>
              <w:numPr>
                <w:ilvl w:val="0"/>
                <w:numId w:val="2"/>
              </w:numPr>
              <w:spacing w:after="240" w:lineRule="auto"/>
              <w:ind w:left="720" w:hanging="360"/>
              <w:jc w:val="both"/>
              <w:rPr/>
            </w:pPr>
            <w:r w:rsidDel="00000000" w:rsidR="00000000" w:rsidRPr="00000000">
              <w:rPr>
                <w:rtl w:val="0"/>
              </w:rPr>
              <w:t xml:space="preserve">Finanziamento FESR: €3.000.000,00</w:t>
            </w:r>
          </w:p>
          <w:p w:rsidR="00000000" w:rsidDel="00000000" w:rsidP="00000000" w:rsidRDefault="00000000" w:rsidRPr="00000000" w14:paraId="00000077">
            <w:pPr>
              <w:spacing w:after="240" w:lineRule="auto"/>
              <w:jc w:val="both"/>
              <w:rPr/>
            </w:pPr>
            <w:r w:rsidDel="00000000" w:rsidR="00000000" w:rsidRPr="00000000">
              <w:rPr>
                <w:b w:val="1"/>
                <w:rtl w:val="0"/>
              </w:rPr>
              <w:t xml:space="preserve">Finanziamento massimo per singolo progetto</w:t>
            </w:r>
            <w:r w:rsidDel="00000000" w:rsidR="00000000" w:rsidRPr="00000000">
              <w:rPr>
                <w:rtl w:val="0"/>
              </w:rPr>
              <w:t xml:space="preserve">:</w:t>
            </w:r>
          </w:p>
          <w:p w:rsidR="00000000" w:rsidDel="00000000" w:rsidP="00000000" w:rsidRDefault="00000000" w:rsidRPr="00000000" w14:paraId="00000078">
            <w:pPr>
              <w:numPr>
                <w:ilvl w:val="0"/>
                <w:numId w:val="4"/>
              </w:numPr>
              <w:ind w:left="720" w:hanging="360"/>
              <w:jc w:val="both"/>
              <w:rPr/>
            </w:pPr>
            <w:r w:rsidDel="00000000" w:rsidR="00000000" w:rsidRPr="00000000">
              <w:rPr>
                <w:rtl w:val="0"/>
              </w:rPr>
              <w:t xml:space="preserve">Finanziamento FIRST: €300.000,00 </w:t>
            </w:r>
          </w:p>
          <w:p w:rsidR="00000000" w:rsidDel="00000000" w:rsidP="00000000" w:rsidRDefault="00000000" w:rsidRPr="00000000" w14:paraId="00000079">
            <w:pPr>
              <w:numPr>
                <w:ilvl w:val="0"/>
                <w:numId w:val="4"/>
              </w:numPr>
              <w:spacing w:after="240" w:lineRule="auto"/>
              <w:ind w:left="720" w:hanging="360"/>
              <w:jc w:val="both"/>
              <w:rPr/>
            </w:pPr>
            <w:r w:rsidDel="00000000" w:rsidR="00000000" w:rsidRPr="00000000">
              <w:rPr>
                <w:rtl w:val="0"/>
              </w:rPr>
              <w:t xml:space="preserve">Finanziamento FESR: €500.000,00 </w:t>
            </w:r>
          </w:p>
          <w:sdt>
            <w:sdtPr>
              <w:lock w:val="contentLocked"/>
              <w:tag w:val="goog_rdk_0"/>
            </w:sdtPr>
            <w:sdtContent>
              <w:tbl>
                <w:tblPr>
                  <w:tblStyle w:val="Table2"/>
                  <w:tblW w:w="62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1965"/>
                  <w:gridCol w:w="2145"/>
                  <w:tblGridChange w:id="0">
                    <w:tblGrid>
                      <w:gridCol w:w="2100"/>
                      <w:gridCol w:w="1965"/>
                      <w:gridCol w:w="214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Attività di ricerca</w:t>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MUR-FIRST</w:t>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MUR-FESR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Ricerca Fondamentale</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70% dei costi ammissibili</w:t>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Non ammissibile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Ricerca Industriale</w:t>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70% dei costi ammissibili</w:t>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100% dei costi ammissibili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Sviluppo Sperimentale</w:t>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25% dei costi ammissibili </w:t>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25% dei costi ammissibili </w:t>
                      </w:r>
                    </w:p>
                  </w:tc>
                </w:tr>
              </w:tbl>
            </w:sdtContent>
          </w:sdt>
          <w:p w:rsidR="00000000" w:rsidDel="00000000" w:rsidP="00000000" w:rsidRDefault="00000000" w:rsidRPr="00000000" w14:paraId="00000086">
            <w:pPr>
              <w:spacing w:after="240" w:lineRule="auto"/>
              <w:jc w:val="center"/>
              <w:rPr/>
            </w:pPr>
            <w:r w:rsidDel="00000000" w:rsidR="00000000" w:rsidRPr="00000000">
              <w:rPr>
                <w:rtl w:val="0"/>
              </w:rPr>
            </w:r>
          </w:p>
          <w:p w:rsidR="00000000" w:rsidDel="00000000" w:rsidP="00000000" w:rsidRDefault="00000000" w:rsidRPr="00000000" w14:paraId="00000087">
            <w:pPr>
              <w:spacing w:after="240" w:lineRule="auto"/>
              <w:jc w:val="both"/>
              <w:rPr/>
            </w:pPr>
            <w:r w:rsidDel="00000000" w:rsidR="00000000" w:rsidRPr="00000000">
              <w:rPr>
                <w:rtl w:val="0"/>
              </w:rPr>
              <w:t xml:space="preserve">Co-fin Ricerca Fondamentale FIRST: 30%</w:t>
            </w:r>
          </w:p>
          <w:p w:rsidR="00000000" w:rsidDel="00000000" w:rsidP="00000000" w:rsidRDefault="00000000" w:rsidRPr="00000000" w14:paraId="00000088">
            <w:pPr>
              <w:spacing w:after="240" w:lineRule="auto"/>
              <w:jc w:val="both"/>
              <w:rPr/>
            </w:pPr>
            <w:r w:rsidDel="00000000" w:rsidR="00000000" w:rsidRPr="00000000">
              <w:rPr>
                <w:rtl w:val="0"/>
              </w:rPr>
              <w:t xml:space="preserve">Co-fin Ricerca Industriale FIRST: 30%</w:t>
            </w:r>
          </w:p>
          <w:p w:rsidR="00000000" w:rsidDel="00000000" w:rsidP="00000000" w:rsidRDefault="00000000" w:rsidRPr="00000000" w14:paraId="00000089">
            <w:pPr>
              <w:spacing w:after="240" w:lineRule="auto"/>
              <w:jc w:val="both"/>
              <w:rPr/>
            </w:pPr>
            <w:r w:rsidDel="00000000" w:rsidR="00000000" w:rsidRPr="00000000">
              <w:rPr>
                <w:rtl w:val="0"/>
              </w:rPr>
              <w:t xml:space="preserve">Co-fin Sviluppo Sperimentale FIRST: 75%</w:t>
            </w:r>
          </w:p>
          <w:p w:rsidR="00000000" w:rsidDel="00000000" w:rsidP="00000000" w:rsidRDefault="00000000" w:rsidRPr="00000000" w14:paraId="0000008A">
            <w:pPr>
              <w:spacing w:after="240" w:lineRule="auto"/>
              <w:jc w:val="both"/>
              <w:rPr/>
            </w:pPr>
            <w:r w:rsidDel="00000000" w:rsidR="00000000" w:rsidRPr="00000000">
              <w:rPr>
                <w:rtl w:val="0"/>
              </w:rPr>
              <w:t xml:space="preserve">Co-fin Sviluppo Sperimentale FESR: 75%</w:t>
            </w:r>
          </w:p>
        </w:tc>
      </w:tr>
      <w:tr>
        <w:trPr>
          <w:cantSplit w:val="0"/>
          <w:tblHeader w:val="0"/>
        </w:trPr>
        <w:tc>
          <w:tcPr>
            <w:gridSpan w:val="3"/>
            <w:shd w:fill="fbe5d5" w:val="clear"/>
          </w:tcPr>
          <w:p w:rsidR="00000000" w:rsidDel="00000000" w:rsidP="00000000" w:rsidRDefault="00000000" w:rsidRPr="00000000" w14:paraId="0000008C">
            <w:pPr>
              <w:spacing w:after="120" w:before="120" w:lineRule="auto"/>
              <w:jc w:val="center"/>
              <w:rPr>
                <w:b w:val="1"/>
              </w:rPr>
            </w:pPr>
            <w:r w:rsidDel="00000000" w:rsidR="00000000" w:rsidRPr="00000000">
              <w:rPr>
                <w:b w:val="1"/>
                <w:rtl w:val="0"/>
              </w:rPr>
              <w:t xml:space="preserve">VALUTAZIONE AD OPERA DELL’UFFICIO RICERCA</w:t>
            </w:r>
          </w:p>
        </w:tc>
      </w:tr>
      <w:tr>
        <w:trPr>
          <w:cantSplit w:val="0"/>
          <w:tblHeader w:val="0"/>
        </w:trPr>
        <w:tc>
          <w:tcPr>
            <w:tcBorders>
              <w:bottom w:color="000000" w:space="0" w:sz="12" w:val="single"/>
            </w:tcBorders>
            <w:shd w:fill="f2f2f2" w:val="clear"/>
          </w:tcPr>
          <w:p w:rsidR="00000000" w:rsidDel="00000000" w:rsidP="00000000" w:rsidRDefault="00000000" w:rsidRPr="00000000" w14:paraId="0000008F">
            <w:pPr>
              <w:spacing w:after="240" w:lineRule="auto"/>
              <w:rPr>
                <w:b w:val="1"/>
              </w:rPr>
            </w:pPr>
            <w:r w:rsidDel="00000000" w:rsidR="00000000" w:rsidRPr="00000000">
              <w:rPr>
                <w:b w:val="1"/>
                <w:rtl w:val="0"/>
              </w:rPr>
              <w:t xml:space="preserve">Costi ammissibili:</w:t>
            </w:r>
          </w:p>
        </w:tc>
        <w:tc>
          <w:tcPr>
            <w:gridSpan w:val="2"/>
            <w:tcBorders>
              <w:bottom w:color="000000" w:space="0" w:sz="12" w:val="single"/>
            </w:tcBorders>
          </w:tcPr>
          <w:p w:rsidR="00000000" w:rsidDel="00000000" w:rsidP="00000000" w:rsidRDefault="00000000" w:rsidRPr="00000000" w14:paraId="00000090">
            <w:pPr>
              <w:spacing w:after="240" w:lineRule="auto"/>
              <w:jc w:val="both"/>
              <w:rPr/>
            </w:pPr>
            <w:r w:rsidDel="00000000" w:rsidR="00000000" w:rsidRPr="00000000">
              <w:rPr>
                <w:rtl w:val="0"/>
              </w:rPr>
              <w:t xml:space="preserve">1. Sono ammissibili gli interventi di cui al presente avviso tutti i costi individuati dall’art. 6 del D.M. 1573/2024, ovvero:</w:t>
            </w:r>
          </w:p>
          <w:p w:rsidR="00000000" w:rsidDel="00000000" w:rsidP="00000000" w:rsidRDefault="00000000" w:rsidRPr="00000000" w14:paraId="00000091">
            <w:pPr>
              <w:numPr>
                <w:ilvl w:val="0"/>
                <w:numId w:val="1"/>
              </w:numPr>
              <w:ind w:left="720" w:hanging="360"/>
              <w:jc w:val="both"/>
              <w:rPr/>
            </w:pPr>
            <w:r w:rsidDel="00000000" w:rsidR="00000000" w:rsidRPr="00000000">
              <w:rPr>
                <w:rtl w:val="0"/>
              </w:rPr>
              <w:t xml:space="preserve">Spese di personale rendicontabile a costi unitari  </w:t>
            </w:r>
          </w:p>
          <w:p w:rsidR="00000000" w:rsidDel="00000000" w:rsidP="00000000" w:rsidRDefault="00000000" w:rsidRPr="00000000" w14:paraId="00000092">
            <w:pPr>
              <w:numPr>
                <w:ilvl w:val="0"/>
                <w:numId w:val="1"/>
              </w:numPr>
              <w:ind w:left="720" w:hanging="360"/>
              <w:jc w:val="both"/>
              <w:rPr/>
            </w:pPr>
            <w:r w:rsidDel="00000000" w:rsidR="00000000" w:rsidRPr="00000000">
              <w:rPr>
                <w:rtl w:val="0"/>
              </w:rPr>
              <w:t xml:space="preserve">Costi per la ricerca contrattuale</w:t>
            </w:r>
          </w:p>
          <w:p w:rsidR="00000000" w:rsidDel="00000000" w:rsidP="00000000" w:rsidRDefault="00000000" w:rsidRPr="00000000" w14:paraId="00000093">
            <w:pPr>
              <w:numPr>
                <w:ilvl w:val="0"/>
                <w:numId w:val="1"/>
              </w:numPr>
              <w:ind w:left="720" w:hanging="360"/>
              <w:jc w:val="both"/>
              <w:rPr/>
            </w:pPr>
            <w:r w:rsidDel="00000000" w:rsidR="00000000" w:rsidRPr="00000000">
              <w:rPr>
                <w:rtl w:val="0"/>
              </w:rPr>
              <w:t xml:space="preserve">Spese per viaggi </w:t>
            </w:r>
          </w:p>
          <w:p w:rsidR="00000000" w:rsidDel="00000000" w:rsidP="00000000" w:rsidRDefault="00000000" w:rsidRPr="00000000" w14:paraId="00000094">
            <w:pPr>
              <w:numPr>
                <w:ilvl w:val="0"/>
                <w:numId w:val="1"/>
              </w:numPr>
              <w:ind w:left="720" w:hanging="360"/>
              <w:jc w:val="both"/>
              <w:rPr/>
            </w:pPr>
            <w:r w:rsidDel="00000000" w:rsidR="00000000" w:rsidRPr="00000000">
              <w:rPr>
                <w:rtl w:val="0"/>
              </w:rPr>
              <w:t xml:space="preserve">costi relativi a strumentazione e attrezzature </w:t>
            </w:r>
          </w:p>
          <w:p w:rsidR="00000000" w:rsidDel="00000000" w:rsidP="00000000" w:rsidRDefault="00000000" w:rsidRPr="00000000" w14:paraId="00000095">
            <w:pPr>
              <w:numPr>
                <w:ilvl w:val="0"/>
                <w:numId w:val="1"/>
              </w:numPr>
              <w:ind w:left="720" w:hanging="360"/>
              <w:jc w:val="both"/>
              <w:rPr/>
            </w:pPr>
            <w:r w:rsidDel="00000000" w:rsidR="00000000" w:rsidRPr="00000000">
              <w:rPr>
                <w:rtl w:val="0"/>
              </w:rPr>
              <w:t xml:space="preserve">altri costi di esercizio, </w:t>
            </w:r>
          </w:p>
          <w:p w:rsidR="00000000" w:rsidDel="00000000" w:rsidP="00000000" w:rsidRDefault="00000000" w:rsidRPr="00000000" w14:paraId="00000096">
            <w:pPr>
              <w:numPr>
                <w:ilvl w:val="0"/>
                <w:numId w:val="1"/>
              </w:numPr>
              <w:spacing w:after="240" w:lineRule="auto"/>
              <w:ind w:left="720" w:hanging="360"/>
              <w:jc w:val="both"/>
              <w:rPr/>
            </w:pPr>
            <w:r w:rsidDel="00000000" w:rsidR="00000000" w:rsidRPr="00000000">
              <w:rPr>
                <w:rtl w:val="0"/>
              </w:rPr>
              <w:t xml:space="preserve">spese generali riconosciute nella misura forfettaria del 25% della somma dei costi diretti </w:t>
            </w:r>
          </w:p>
        </w:tc>
      </w:tr>
      <w:tr>
        <w:trPr>
          <w:cantSplit w:val="0"/>
          <w:tblHeader w:val="0"/>
        </w:trPr>
        <w:tc>
          <w:tcPr>
            <w:tcBorders>
              <w:bottom w:color="000000" w:space="0" w:sz="12" w:val="single"/>
            </w:tcBorders>
            <w:shd w:fill="f2f2f2" w:val="clear"/>
          </w:tcPr>
          <w:p w:rsidR="00000000" w:rsidDel="00000000" w:rsidP="00000000" w:rsidRDefault="00000000" w:rsidRPr="00000000" w14:paraId="00000098">
            <w:pPr>
              <w:spacing w:after="240" w:lineRule="auto"/>
              <w:rPr>
                <w:b w:val="1"/>
              </w:rPr>
            </w:pPr>
            <w:r w:rsidDel="00000000" w:rsidR="00000000" w:rsidRPr="00000000">
              <w:rPr>
                <w:b w:val="1"/>
                <w:rtl w:val="0"/>
              </w:rPr>
              <w:t xml:space="preserve">Note e considerazioni:</w:t>
            </w:r>
          </w:p>
        </w:tc>
        <w:tc>
          <w:tcPr>
            <w:gridSpan w:val="2"/>
            <w:tcBorders>
              <w:bottom w:color="000000" w:space="0" w:sz="12" w:val="single"/>
            </w:tcBorders>
          </w:tcPr>
          <w:p w:rsidR="00000000" w:rsidDel="00000000" w:rsidP="00000000" w:rsidRDefault="00000000" w:rsidRPr="00000000" w14:paraId="00000099">
            <w:pPr>
              <w:spacing w:after="240" w:lineRule="auto"/>
              <w:rPr>
                <w:b w:val="1"/>
              </w:rPr>
            </w:pPr>
            <w:r w:rsidDel="00000000" w:rsidR="00000000" w:rsidRPr="00000000">
              <w:rPr>
                <w:rtl w:val="0"/>
              </w:rPr>
            </w:r>
          </w:p>
        </w:tc>
      </w:tr>
      <w:tr>
        <w:trPr>
          <w:cantSplit w:val="0"/>
          <w:tblHeader w:val="0"/>
        </w:trPr>
        <w:tc>
          <w:tcPr>
            <w:gridSpan w:val="2"/>
            <w:tcBorders>
              <w:top w:color="000000" w:space="0" w:sz="12" w:val="single"/>
              <w:left w:color="000000" w:space="0" w:sz="12" w:val="single"/>
              <w:bottom w:color="000000" w:space="0" w:sz="12" w:val="single"/>
            </w:tcBorders>
            <w:shd w:fill="auto" w:val="clear"/>
          </w:tcPr>
          <w:p w:rsidR="00000000" w:rsidDel="00000000" w:rsidP="00000000" w:rsidRDefault="00000000" w:rsidRPr="00000000" w14:paraId="0000009B">
            <w:pPr>
              <w:spacing w:after="120" w:before="240" w:lineRule="auto"/>
              <w:ind w:left="720" w:firstLine="0"/>
              <w:rPr>
                <w:b w:val="1"/>
              </w:rPr>
            </w:pPr>
            <w:r w:rsidDel="00000000" w:rsidR="00000000" w:rsidRPr="00000000">
              <w:rPr>
                <w:b w:val="1"/>
                <w:rtl w:val="0"/>
              </w:rPr>
              <w:t xml:space="preserve">Livello di interesse:</w:t>
            </w:r>
          </w:p>
          <w:p w:rsidR="00000000" w:rsidDel="00000000" w:rsidP="00000000" w:rsidRDefault="00000000" w:rsidRPr="00000000" w14:paraId="0000009C">
            <w:pPr>
              <w:spacing w:after="120" w:lineRule="auto"/>
              <w:ind w:left="720" w:firstLine="0"/>
              <w:rPr>
                <w:b w:val="1"/>
              </w:rPr>
            </w:pP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 Alto</w:t>
            </w:r>
          </w:p>
          <w:p w:rsidR="00000000" w:rsidDel="00000000" w:rsidP="00000000" w:rsidRDefault="00000000" w:rsidRPr="00000000" w14:paraId="0000009D">
            <w:pPr>
              <w:spacing w:after="120" w:lineRule="auto"/>
              <w:ind w:left="720" w:firstLine="0"/>
              <w:rPr>
                <w:b w:val="1"/>
              </w:rPr>
            </w:pP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 Medio </w:t>
            </w:r>
          </w:p>
          <w:p w:rsidR="00000000" w:rsidDel="00000000" w:rsidP="00000000" w:rsidRDefault="00000000" w:rsidRPr="00000000" w14:paraId="0000009E">
            <w:pPr>
              <w:spacing w:after="120" w:lineRule="auto"/>
              <w:ind w:left="720" w:firstLine="0"/>
              <w:rPr>
                <w:b w:val="1"/>
              </w:rPr>
            </w:pP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 Basso</w:t>
            </w:r>
          </w:p>
        </w:tc>
        <w:tc>
          <w:tcPr>
            <w:tcBorders>
              <w:top w:color="000000" w:space="0" w:sz="12" w:val="single"/>
              <w:bottom w:color="000000" w:space="0" w:sz="12" w:val="single"/>
              <w:right w:color="000000" w:space="0" w:sz="12" w:val="single"/>
            </w:tcBorders>
            <w:shd w:fill="auto" w:val="clear"/>
          </w:tcPr>
          <w:p w:rsidR="00000000" w:rsidDel="00000000" w:rsidP="00000000" w:rsidRDefault="00000000" w:rsidRPr="00000000" w14:paraId="000000A0">
            <w:pPr>
              <w:spacing w:after="120" w:before="240" w:lineRule="auto"/>
              <w:ind w:left="720" w:firstLine="0"/>
              <w:rPr>
                <w:b w:val="1"/>
              </w:rPr>
            </w:pPr>
            <w:r w:rsidDel="00000000" w:rsidR="00000000" w:rsidRPr="00000000">
              <w:rPr>
                <w:b w:val="1"/>
                <w:rtl w:val="0"/>
              </w:rPr>
              <w:t xml:space="preserve">Infografica: </w:t>
            </w:r>
          </w:p>
          <w:p w:rsidR="00000000" w:rsidDel="00000000" w:rsidP="00000000" w:rsidRDefault="00000000" w:rsidRPr="00000000" w14:paraId="000000A1">
            <w:pPr>
              <w:spacing w:after="120" w:lineRule="auto"/>
              <w:ind w:left="720" w:firstLine="0"/>
              <w:rPr>
                <w:b w:val="1"/>
              </w:rPr>
            </w:pP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 Sì </w:t>
            </w:r>
          </w:p>
          <w:p w:rsidR="00000000" w:rsidDel="00000000" w:rsidP="00000000" w:rsidRDefault="00000000" w:rsidRPr="00000000" w14:paraId="000000A2">
            <w:pPr>
              <w:spacing w:after="120" w:lineRule="auto"/>
              <w:ind w:left="720" w:firstLine="0"/>
              <w:rPr>
                <w:b w:val="1"/>
              </w:rPr>
            </w:pP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 No </w:t>
            </w:r>
          </w:p>
          <w:p w:rsidR="00000000" w:rsidDel="00000000" w:rsidP="00000000" w:rsidRDefault="00000000" w:rsidRPr="00000000" w14:paraId="000000A3">
            <w:pPr>
              <w:spacing w:after="240" w:lineRule="auto"/>
              <w:ind w:left="720" w:firstLine="0"/>
              <w:rPr>
                <w:b w:val="1"/>
              </w:rPr>
            </w:pP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 In attesa</w:t>
            </w:r>
          </w:p>
        </w:tc>
      </w:tr>
    </w:tbl>
    <w:p w:rsidR="00000000" w:rsidDel="00000000" w:rsidP="00000000" w:rsidRDefault="00000000" w:rsidRPr="00000000" w14:paraId="000000A4">
      <w:pPr>
        <w:rPr/>
      </w:pPr>
      <w:r w:rsidDel="00000000" w:rsidR="00000000" w:rsidRPr="00000000">
        <w:rPr>
          <w:rtl w:val="0"/>
        </w:rPr>
      </w:r>
    </w:p>
    <w:sectPr>
      <w:headerReference r:id="rId16"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MS Gothic"/>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center" w:leader="none" w:pos="4819"/>
        <w:tab w:val="right" w:leader="none" w:pos="9638"/>
      </w:tabs>
      <w:jc w:val="right"/>
      <w:rPr>
        <w:b w:val="1"/>
        <w:color w:val="000000"/>
      </w:rPr>
    </w:pPr>
    <w:r w:rsidDel="00000000" w:rsidR="00000000" w:rsidRPr="00000000">
      <w:rPr>
        <w:b w:val="1"/>
        <w:color w:val="1f4e79"/>
        <w:sz w:val="36"/>
        <w:szCs w:val="36"/>
        <w:rtl w:val="0"/>
      </w:rPr>
      <w:t xml:space="preserve">SCOUTING DEI BANDI DI RICERCA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-122548</wp:posOffset>
          </wp:positionV>
          <wp:extent cx="1087120" cy="514350"/>
          <wp:effectExtent b="0" l="0" r="0" t="0"/>
          <wp:wrapNone/>
          <wp:docPr descr="Immagine che contiene testo, Carattere, logo, simbolo&#10;&#10;Descrizione generata automaticamente" id="7" name="image1.jpg"/>
          <a:graphic>
            <a:graphicData uri="http://schemas.openxmlformats.org/drawingml/2006/picture">
              <pic:pic>
                <pic:nvPicPr>
                  <pic:cNvPr descr="Immagine che contiene testo, Carattere, logo, simbolo&#10;&#10;Descrizione generata automaticamente" id="0" name="image1.jpg"/>
                  <pic:cNvPicPr preferRelativeResize="0"/>
                </pic:nvPicPr>
                <pic:blipFill>
                  <a:blip r:embed="rId1"/>
                  <a:srcRect b="0" l="0" r="0" t="0"/>
                  <a:stretch>
                    <a:fillRect/>
                  </a:stretch>
                </pic:blipFill>
                <pic:spPr>
                  <a:xfrm>
                    <a:off x="0" y="0"/>
                    <a:ext cx="1087120" cy="5143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paragraph" w:styleId="Sottotitolo">
    <w:name w:val="Subtitle"/>
    <w:basedOn w:val="Normale"/>
    <w:next w:val="Normale"/>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4"/>
    <w:tblPr>
      <w:tblStyleRowBandSize w:val="1"/>
      <w:tblStyleColBandSize w:val="1"/>
      <w:tblCellMar>
        <w:left w:w="108.0" w:type="dxa"/>
        <w:right w:w="108.0" w:type="dxa"/>
      </w:tblCellMar>
    </w:tblPr>
  </w:style>
  <w:style w:type="table" w:styleId="a0" w:customStyle="1">
    <w:basedOn w:val="TableNormal4"/>
    <w:tblPr>
      <w:tblStyleRowBandSize w:val="1"/>
      <w:tblStyleColBandSize w:val="1"/>
      <w:tblCellMar>
        <w:left w:w="108.0" w:type="dxa"/>
        <w:right w:w="108.0" w:type="dxa"/>
      </w:tblCellMar>
    </w:tblPr>
  </w:style>
  <w:style w:type="table" w:styleId="a1" w:customStyle="1">
    <w:basedOn w:val="TableNormal3"/>
    <w:tblPr>
      <w:tblStyleRowBandSize w:val="1"/>
      <w:tblStyleColBandSize w:val="1"/>
      <w:tblCellMar>
        <w:left w:w="108.0" w:type="dxa"/>
        <w:right w:w="108.0" w:type="dxa"/>
      </w:tblCellMar>
    </w:tblPr>
  </w:style>
  <w:style w:type="table" w:styleId="a2" w:customStyle="1">
    <w:basedOn w:val="TableNormal3"/>
    <w:tblPr>
      <w:tblStyleRowBandSize w:val="1"/>
      <w:tblStyleColBandSize w:val="1"/>
      <w:tblCellMar>
        <w:top w:w="100.0" w:type="dxa"/>
        <w:left w:w="100.0" w:type="dxa"/>
        <w:bottom w:w="100.0" w:type="dxa"/>
        <w:right w:w="100.0" w:type="dxa"/>
      </w:tblCellMar>
    </w:tblPr>
  </w:style>
  <w:style w:type="table" w:styleId="a3" w:customStyle="1">
    <w:basedOn w:val="TableNormal3"/>
    <w:tblPr>
      <w:tblStyleRowBandSize w:val="1"/>
      <w:tblStyleColBandSize w:val="1"/>
      <w:tblCellMar>
        <w:left w:w="108.0" w:type="dxa"/>
        <w:right w:w="108.0" w:type="dxa"/>
      </w:tblCellMar>
    </w:tblPr>
  </w:style>
  <w:style w:type="table" w:styleId="a4" w:customStyle="1">
    <w:basedOn w:val="TableNormal3"/>
    <w:tblPr>
      <w:tblStyleRowBandSize w:val="1"/>
      <w:tblStyleColBandSize w:val="1"/>
      <w:tblCellMar>
        <w:top w:w="100.0" w:type="dxa"/>
        <w:left w:w="100.0" w:type="dxa"/>
        <w:bottom w:w="100.0" w:type="dxa"/>
        <w:right w:w="100.0" w:type="dxa"/>
      </w:tblCellMar>
    </w:tblPr>
  </w:style>
  <w:style w:type="table" w:styleId="a5" w:customStyle="1">
    <w:basedOn w:val="TableNormal3"/>
    <w:tblPr>
      <w:tblStyleRowBandSize w:val="1"/>
      <w:tblStyleColBandSize w:val="1"/>
      <w:tblCellMar>
        <w:top w:w="100.0" w:type="dxa"/>
        <w:left w:w="100.0" w:type="dxa"/>
        <w:bottom w:w="100.0" w:type="dxa"/>
        <w:right w:w="100.0" w:type="dxa"/>
      </w:tblCellMar>
    </w:tblPr>
  </w:style>
  <w:style w:type="table" w:styleId="a6" w:customStyle="1">
    <w:basedOn w:val="TableNormal1"/>
    <w:tblPr>
      <w:tblStyleRowBandSize w:val="1"/>
      <w:tblStyleColBandSize w:val="1"/>
      <w:tblCellMar>
        <w:left w:w="108.0" w:type="dxa"/>
        <w:right w:w="108.0" w:type="dxa"/>
      </w:tblCellMar>
    </w:tblPr>
  </w:style>
  <w:style w:type="table" w:styleId="a7" w:customStyle="1">
    <w:basedOn w:val="TableNormal1"/>
    <w:tblPr>
      <w:tblStyleRowBandSize w:val="1"/>
      <w:tblStyleColBandSize w:val="1"/>
      <w:tblCellMar>
        <w:top w:w="100.0" w:type="dxa"/>
        <w:left w:w="100.0" w:type="dxa"/>
        <w:bottom w:w="100.0" w:type="dxa"/>
        <w:right w:w="100.0" w:type="dxa"/>
      </w:tblCellMar>
    </w:tblPr>
  </w:style>
  <w:style w:type="table" w:styleId="a8" w:customStyle="1">
    <w:basedOn w:val="TableNormal1"/>
    <w:tblPr>
      <w:tblStyleRowBandSize w:val="1"/>
      <w:tblStyleColBandSize w:val="1"/>
      <w:tblCellMar>
        <w:left w:w="108.0" w:type="dxa"/>
        <w:right w:w="108.0" w:type="dxa"/>
      </w:tblCellMar>
    </w:tblPr>
  </w:style>
  <w:style w:type="table" w:styleId="a9" w:customStyle="1">
    <w:basedOn w:val="TableNormal1"/>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banditransnazionali.mur.gov.it" TargetMode="External"/><Relationship Id="rId10" Type="http://schemas.openxmlformats.org/officeDocument/2006/relationships/hyperlink" Target="https://banditransnazionali.mur.gov.it/" TargetMode="External"/><Relationship Id="rId13" Type="http://schemas.openxmlformats.org/officeDocument/2006/relationships/hyperlink" Target="http://prima-med.org/" TargetMode="External"/><Relationship Id="rId12" Type="http://schemas.openxmlformats.org/officeDocument/2006/relationships/hyperlink" Target="https://prima-med.org/wp-content/uploads/2025/04/S1-Guidelines-for-Applicants-2025-final.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rima-med.org/submit-your-project/section-2-multi-topics-2024/" TargetMode="External"/><Relationship Id="rId15" Type="http://schemas.openxmlformats.org/officeDocument/2006/relationships/hyperlink" Target="http://www.ricercainternazionale.mur.gov.it/era/art-185-del-trattato-dell-unione-europea/prima.aspx" TargetMode="External"/><Relationship Id="rId14" Type="http://schemas.openxmlformats.org/officeDocument/2006/relationships/hyperlink" Target="https://prima-med.org/find-partners/"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ricercainternazionale.mur.gov.it/era/art-185-del-trattato-dell-unione-europea/prima.aspx" TargetMode="External"/><Relationship Id="rId8" Type="http://schemas.openxmlformats.org/officeDocument/2006/relationships/hyperlink" Target="http://www.ricercainternazionale.mur.gov.it/era/art-185-del-trattato-dell-unione-europea/prima.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YvuI5bQec3mT4n6Ky0bNiLGRhg==">CgMxLjAaHgoBMBIZChcICVITChF0YWJsZS5vaDRudzgzc3V5ZzgAciExczIzc0hOVmdYbVFreWQtcEEyZ0JSdVRldDY0c2ZYb1Y=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2025-05-28T13:17:00Z</dcterms:created>
</cp:coreProperties>
</file>