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7B6F38" w14:textId="77777777" w:rsidR="0047250C" w:rsidRDefault="0047250C">
      <w:pPr>
        <w:rPr>
          <w:b/>
        </w:rPr>
      </w:pPr>
    </w:p>
    <w:tbl>
      <w:tblPr>
        <w:tblStyle w:val="ad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1961"/>
        <w:gridCol w:w="4508"/>
      </w:tblGrid>
      <w:tr w:rsidR="0047250C" w14:paraId="4D632136" w14:textId="77777777">
        <w:tc>
          <w:tcPr>
            <w:tcW w:w="9016" w:type="dxa"/>
            <w:gridSpan w:val="3"/>
            <w:shd w:val="clear" w:color="auto" w:fill="E2EFD9"/>
          </w:tcPr>
          <w:p w14:paraId="1066A8B7" w14:textId="77777777" w:rsidR="0047250C" w:rsidRDefault="00000000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INFO SCOUTING</w:t>
            </w:r>
          </w:p>
        </w:tc>
      </w:tr>
      <w:tr w:rsidR="0047250C" w14:paraId="126F3937" w14:textId="77777777">
        <w:tc>
          <w:tcPr>
            <w:tcW w:w="2547" w:type="dxa"/>
            <w:shd w:val="clear" w:color="auto" w:fill="F2F2F2"/>
          </w:tcPr>
          <w:p w14:paraId="6EFDFF50" w14:textId="77777777" w:rsidR="0047250C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Periodo di scouting:</w:t>
            </w:r>
          </w:p>
        </w:tc>
        <w:tc>
          <w:tcPr>
            <w:tcW w:w="6469" w:type="dxa"/>
            <w:gridSpan w:val="2"/>
          </w:tcPr>
          <w:p w14:paraId="21389314" w14:textId="77777777" w:rsidR="0047250C" w:rsidRDefault="00000000">
            <w:pPr>
              <w:spacing w:after="240"/>
              <w:rPr>
                <w:b/>
              </w:rPr>
            </w:pPr>
            <w:r>
              <w:rPr>
                <w:color w:val="212529"/>
                <w:highlight w:val="white"/>
              </w:rPr>
              <w:t>11/06/2025</w:t>
            </w:r>
          </w:p>
        </w:tc>
      </w:tr>
      <w:tr w:rsidR="0047250C" w14:paraId="0742C17A" w14:textId="77777777">
        <w:tc>
          <w:tcPr>
            <w:tcW w:w="2547" w:type="dxa"/>
            <w:shd w:val="clear" w:color="auto" w:fill="F2F2F2"/>
          </w:tcPr>
          <w:p w14:paraId="4FF2A961" w14:textId="77777777" w:rsidR="0047250C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Fonte:</w:t>
            </w:r>
          </w:p>
        </w:tc>
        <w:tc>
          <w:tcPr>
            <w:tcW w:w="6469" w:type="dxa"/>
            <w:gridSpan w:val="2"/>
          </w:tcPr>
          <w:p w14:paraId="2B58C322" w14:textId="77777777" w:rsidR="0047250C" w:rsidRDefault="00000000">
            <w:pPr>
              <w:spacing w:after="240"/>
            </w:pPr>
            <w:hyperlink r:id="rId8">
              <w:r>
                <w:rPr>
                  <w:color w:val="1155CC"/>
                  <w:u w:val="single"/>
                </w:rPr>
                <w:t>https://prima-med.org/funding-opportunities-prima-2025s-calls-are-now-open/</w:t>
              </w:r>
            </w:hyperlink>
          </w:p>
        </w:tc>
      </w:tr>
      <w:tr w:rsidR="0047250C" w14:paraId="0A08169D" w14:textId="77777777">
        <w:tc>
          <w:tcPr>
            <w:tcW w:w="9016" w:type="dxa"/>
            <w:gridSpan w:val="3"/>
            <w:shd w:val="clear" w:color="auto" w:fill="DEEBF6"/>
          </w:tcPr>
          <w:p w14:paraId="27051BCC" w14:textId="77777777" w:rsidR="0047250C" w:rsidRDefault="00000000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DESCRIZIONE BANDO</w:t>
            </w:r>
          </w:p>
        </w:tc>
      </w:tr>
      <w:tr w:rsidR="0047250C" w14:paraId="31194801" w14:textId="77777777">
        <w:tc>
          <w:tcPr>
            <w:tcW w:w="2547" w:type="dxa"/>
            <w:shd w:val="clear" w:color="auto" w:fill="F2F2F2"/>
          </w:tcPr>
          <w:p w14:paraId="73582CAB" w14:textId="77777777" w:rsidR="0047250C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Ente proponente:</w:t>
            </w:r>
          </w:p>
        </w:tc>
        <w:tc>
          <w:tcPr>
            <w:tcW w:w="6469" w:type="dxa"/>
            <w:gridSpan w:val="2"/>
          </w:tcPr>
          <w:p w14:paraId="18B69FB3" w14:textId="77777777" w:rsidR="0047250C" w:rsidRDefault="00000000">
            <w:pPr>
              <w:spacing w:after="240"/>
            </w:pPr>
            <w:r>
              <w:t>Commissione Europea</w:t>
            </w:r>
          </w:p>
        </w:tc>
      </w:tr>
      <w:tr w:rsidR="0047250C" w:rsidRPr="0075491F" w14:paraId="6C752F10" w14:textId="77777777">
        <w:tc>
          <w:tcPr>
            <w:tcW w:w="2547" w:type="dxa"/>
            <w:shd w:val="clear" w:color="auto" w:fill="F2F2F2"/>
          </w:tcPr>
          <w:p w14:paraId="31EC2E1F" w14:textId="77777777" w:rsidR="0047250C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Tipologia di bando:</w:t>
            </w:r>
          </w:p>
        </w:tc>
        <w:tc>
          <w:tcPr>
            <w:tcW w:w="6469" w:type="dxa"/>
            <w:gridSpan w:val="2"/>
          </w:tcPr>
          <w:p w14:paraId="4CB23A58" w14:textId="77777777" w:rsidR="0047250C" w:rsidRPr="0075491F" w:rsidRDefault="00000000">
            <w:pPr>
              <w:spacing w:after="240"/>
              <w:rPr>
                <w:lang w:val="en-GB"/>
              </w:rPr>
            </w:pPr>
            <w:r w:rsidRPr="0075491F">
              <w:rPr>
                <w:highlight w:val="white"/>
                <w:lang w:val="en-GB"/>
              </w:rPr>
              <w:t>PRIMA CALLS-2025-SECTION 1- INNOVATION ACTION (IA)</w:t>
            </w:r>
          </w:p>
        </w:tc>
      </w:tr>
      <w:tr w:rsidR="0047250C" w:rsidRPr="0075491F" w14:paraId="72708360" w14:textId="77777777">
        <w:trPr>
          <w:trHeight w:val="139"/>
        </w:trPr>
        <w:tc>
          <w:tcPr>
            <w:tcW w:w="9016" w:type="dxa"/>
            <w:gridSpan w:val="3"/>
          </w:tcPr>
          <w:p w14:paraId="669B64A2" w14:textId="77777777" w:rsidR="0047250C" w:rsidRPr="0075491F" w:rsidRDefault="0047250C">
            <w:pPr>
              <w:rPr>
                <w:b/>
                <w:sz w:val="18"/>
                <w:szCs w:val="18"/>
                <w:lang w:val="en-GB"/>
              </w:rPr>
            </w:pPr>
          </w:p>
        </w:tc>
      </w:tr>
      <w:tr w:rsidR="0047250C" w:rsidRPr="0075491F" w14:paraId="6DDFF28A" w14:textId="77777777">
        <w:tc>
          <w:tcPr>
            <w:tcW w:w="2547" w:type="dxa"/>
            <w:shd w:val="clear" w:color="auto" w:fill="F2F2F2"/>
          </w:tcPr>
          <w:p w14:paraId="616CE2A0" w14:textId="77777777" w:rsidR="0047250C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Bando/call:</w:t>
            </w:r>
          </w:p>
        </w:tc>
        <w:tc>
          <w:tcPr>
            <w:tcW w:w="6469" w:type="dxa"/>
            <w:gridSpan w:val="2"/>
          </w:tcPr>
          <w:p w14:paraId="293EEB91" w14:textId="77777777" w:rsidR="0047250C" w:rsidRPr="0075491F" w:rsidRDefault="00000000">
            <w:pPr>
              <w:pBdr>
                <w:top w:val="none" w:sz="0" w:space="0" w:color="000000"/>
                <w:left w:val="none" w:sz="0" w:space="0" w:color="000000"/>
                <w:bottom w:val="nil"/>
                <w:right w:val="none" w:sz="0" w:space="0" w:color="000000"/>
                <w:between w:val="nil"/>
              </w:pBdr>
              <w:shd w:val="clear" w:color="auto" w:fill="FFFFFF"/>
              <w:spacing w:after="240"/>
              <w:ind w:left="-20"/>
              <w:rPr>
                <w:color w:val="000000"/>
                <w:lang w:val="en-GB"/>
              </w:rPr>
            </w:pPr>
            <w:hyperlink r:id="rId9" w:anchor="temp">
              <w:r w:rsidRPr="0075491F">
                <w:rPr>
                  <w:color w:val="1155CC"/>
                  <w:u w:val="single"/>
                  <w:lang w:val="en-GB"/>
                </w:rPr>
                <w:t>Call: PRIMA Section 2 Multi Topics</w:t>
              </w:r>
            </w:hyperlink>
          </w:p>
        </w:tc>
      </w:tr>
      <w:tr w:rsidR="0047250C" w14:paraId="0EC5D8B3" w14:textId="77777777">
        <w:tc>
          <w:tcPr>
            <w:tcW w:w="2547" w:type="dxa"/>
            <w:shd w:val="clear" w:color="auto" w:fill="F2F2F2"/>
          </w:tcPr>
          <w:p w14:paraId="4368824E" w14:textId="77777777" w:rsidR="0047250C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Tema/obiettivo del bando:</w:t>
            </w:r>
          </w:p>
        </w:tc>
        <w:tc>
          <w:tcPr>
            <w:tcW w:w="6469" w:type="dxa"/>
            <w:gridSpan w:val="2"/>
          </w:tcPr>
          <w:p w14:paraId="1B5BD303" w14:textId="77777777" w:rsidR="0047250C" w:rsidRDefault="00000000">
            <w:pPr>
              <w:shd w:val="clear" w:color="auto" w:fill="FFFFFF"/>
              <w:spacing w:before="240" w:after="240"/>
              <w:jc w:val="both"/>
              <w:rPr>
                <w:rFonts w:ascii="Montserrat" w:eastAsia="Montserrat" w:hAnsi="Montserrat" w:cs="Montserrat"/>
                <w:b/>
                <w:highlight w:val="white"/>
              </w:rPr>
            </w:pPr>
            <w:hyperlink r:id="rId10">
              <w:r>
                <w:rPr>
                  <w:highlight w:val="white"/>
                </w:rPr>
                <w:t xml:space="preserve">Il Work </w:t>
              </w:r>
              <w:proofErr w:type="spellStart"/>
              <w:r>
                <w:rPr>
                  <w:highlight w:val="white"/>
                </w:rPr>
                <w:t>Programme</w:t>
              </w:r>
              <w:proofErr w:type="spellEnd"/>
              <w:r>
                <w:rPr>
                  <w:highlight w:val="white"/>
                </w:rPr>
                <w:t xml:space="preserve"> 2025 </w:t>
              </w:r>
            </w:hyperlink>
            <w:r>
              <w:rPr>
                <w:highlight w:val="white"/>
              </w:rPr>
              <w:t xml:space="preserve"> è strategicamente concepito per colmare le lacune individuate nei precedenti cicli di finanziamento, rispondendo al contempo alle nuove sfide regionali, aggravate, tra gli altri, dai cambiamenti climatici o dalla pandemia di COVID-19. I recenti eventi climatici, tra cui le inondazioni nell'Europa meridionale e orientale, hanno compromesso l'agricoltura e la stabilità delle risorse, lasciando molti paesi del Mediterraneo vulnerabili.</w:t>
            </w:r>
          </w:p>
          <w:p w14:paraId="2CBAEA6A" w14:textId="77777777" w:rsidR="0047250C" w:rsidRDefault="00000000">
            <w:pPr>
              <w:shd w:val="clear" w:color="auto" w:fill="FFFFFF"/>
              <w:spacing w:before="240" w:after="240"/>
              <w:jc w:val="both"/>
              <w:rPr>
                <w:highlight w:val="white"/>
              </w:rPr>
            </w:pPr>
            <w:r>
              <w:rPr>
                <w:highlight w:val="white"/>
              </w:rPr>
              <w:t>Il programma enfatizza la resilienza ambientale attraverso il ripristino degli ecosistemi, in particolare implementando soluzioni basate sulla natura in agricoltura e gestione delle risorse idriche. Questi approcci sono fondamentali per sostenere la biodiversità, regolare le risorse idriche e migliorare l'adattamento climatico negli ecosistemi della regione, sempre più minacciati.</w:t>
            </w:r>
          </w:p>
          <w:p w14:paraId="19BFB38F" w14:textId="77777777" w:rsidR="0047250C" w:rsidRDefault="00000000">
            <w:pPr>
              <w:shd w:val="clear" w:color="auto" w:fill="FFFFFF"/>
              <w:spacing w:before="240" w:after="240"/>
              <w:jc w:val="both"/>
              <w:rPr>
                <w:highlight w:val="white"/>
              </w:rPr>
            </w:pPr>
            <w:r>
              <w:rPr>
                <w:highlight w:val="white"/>
              </w:rPr>
              <w:t>Nelle sue tre aree tematiche, PRIMA mira a colmare lacune specifiche:</w:t>
            </w:r>
          </w:p>
          <w:p w14:paraId="6A5840A0" w14:textId="77777777" w:rsidR="0047250C" w:rsidRDefault="00000000">
            <w:pPr>
              <w:numPr>
                <w:ilvl w:val="0"/>
                <w:numId w:val="5"/>
              </w:numPr>
              <w:shd w:val="clear" w:color="auto" w:fill="FFFFFF"/>
              <w:spacing w:before="240"/>
              <w:jc w:val="both"/>
              <w:rPr>
                <w:highlight w:val="white"/>
              </w:rPr>
            </w:pPr>
            <w:r>
              <w:rPr>
                <w:b/>
                <w:highlight w:val="white"/>
              </w:rPr>
              <w:t>Gestione delle risorse idriche</w:t>
            </w:r>
            <w:r>
              <w:rPr>
                <w:highlight w:val="white"/>
              </w:rPr>
              <w:t>: promuovere strumenti digitali come l'intelligenza artificiale e l'IoT per una gestione adattiva delle risorse idriche, con maggiore attenzione alle valutazioni di impatto per lo sviluppo delle politiche</w:t>
            </w:r>
          </w:p>
          <w:p w14:paraId="56B4257F" w14:textId="77777777" w:rsidR="0047250C" w:rsidRDefault="00000000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highlight w:val="white"/>
              </w:rPr>
            </w:pPr>
            <w:r>
              <w:rPr>
                <w:b/>
                <w:highlight w:val="white"/>
              </w:rPr>
              <w:t>Sistemi agricoli</w:t>
            </w:r>
            <w:r>
              <w:rPr>
                <w:highlight w:val="white"/>
              </w:rPr>
              <w:t>: promuovere l'agricoltura di precisione per i piccoli agricoltori e sostenere la biodiversità, la salute del suolo e le pratiche agricole inclusive</w:t>
            </w:r>
          </w:p>
          <w:p w14:paraId="580F5E24" w14:textId="77777777" w:rsidR="0047250C" w:rsidRDefault="00000000">
            <w:pPr>
              <w:numPr>
                <w:ilvl w:val="0"/>
                <w:numId w:val="5"/>
              </w:numPr>
              <w:shd w:val="clear" w:color="auto" w:fill="FFFFFF"/>
              <w:spacing w:after="240"/>
              <w:jc w:val="both"/>
              <w:rPr>
                <w:highlight w:val="white"/>
              </w:rPr>
            </w:pPr>
            <w:r>
              <w:rPr>
                <w:b/>
                <w:highlight w:val="white"/>
              </w:rPr>
              <w:t>Catena del valore agroalimentare</w:t>
            </w:r>
            <w:r>
              <w:rPr>
                <w:highlight w:val="white"/>
              </w:rPr>
              <w:t xml:space="preserve">: promuovere il coinvolgimento dei consumatori per scelte sostenibili, </w:t>
            </w:r>
            <w:r>
              <w:rPr>
                <w:highlight w:val="white"/>
              </w:rPr>
              <w:lastRenderedPageBreak/>
              <w:t>ampliare le opzioni di proteine ​​vegetali e migliorare le soluzioni di tracciabilità</w:t>
            </w:r>
            <w:r>
              <w:rPr>
                <w:highlight w:val="white"/>
              </w:rPr>
              <w:tab/>
            </w:r>
          </w:p>
          <w:p w14:paraId="609B5F39" w14:textId="77777777" w:rsidR="0047250C" w:rsidRDefault="00000000">
            <w:pPr>
              <w:spacing w:before="240" w:after="240"/>
              <w:jc w:val="both"/>
            </w:pPr>
            <w:r>
              <w:t>Le seguenti attività sono generalmente ammissibili a finanziamenti nell'ambito di Horizon Europe:</w:t>
            </w:r>
          </w:p>
          <w:p w14:paraId="43A0E6DF" w14:textId="77777777" w:rsidR="0047250C" w:rsidRDefault="00000000">
            <w:pPr>
              <w:spacing w:before="240" w:after="240"/>
              <w:jc w:val="both"/>
            </w:pPr>
            <w:r>
              <w:rPr>
                <w:b/>
              </w:rPr>
              <w:t>Azioni di innovazione (IA)</w:t>
            </w:r>
            <w:r>
              <w:t>: attività finalizzate direttamente alla realizzazione di piani, progetti o disegni per nuovi prodotti, processi o servizi, modificati o migliorati. Queste attività possono includere la prototipazione, il collaudo, la dimostrazione, la sperimentazione, la convalida di prodotti su larga scala e la replica sul mercato. Il finanziamento per le IA dipende dallo status giuridico dell'organizzazione: 70% per le entità giuridiche a scopo di lucro; Fino al 100% per le entità giuridiche senza scopo di lucro.</w:t>
            </w:r>
          </w:p>
        </w:tc>
      </w:tr>
      <w:tr w:rsidR="0047250C" w14:paraId="5336F472" w14:textId="77777777">
        <w:tc>
          <w:tcPr>
            <w:tcW w:w="2547" w:type="dxa"/>
            <w:shd w:val="clear" w:color="auto" w:fill="F2F2F2"/>
          </w:tcPr>
          <w:p w14:paraId="5716FCC7" w14:textId="77777777" w:rsidR="0047250C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lastRenderedPageBreak/>
              <w:t xml:space="preserve">Requisiti: </w:t>
            </w:r>
          </w:p>
        </w:tc>
        <w:tc>
          <w:tcPr>
            <w:tcW w:w="6469" w:type="dxa"/>
            <w:gridSpan w:val="2"/>
          </w:tcPr>
          <w:p w14:paraId="27EC4F83" w14:textId="77777777" w:rsidR="0047250C" w:rsidRDefault="00000000">
            <w:pPr>
              <w:numPr>
                <w:ilvl w:val="0"/>
                <w:numId w:val="1"/>
              </w:numPr>
              <w:jc w:val="both"/>
            </w:pPr>
            <w:r>
              <w:t>Almeno quattro entità giuridiche stabilite in almeno tre paesi diversi considerati Stati partecipanti a PRIMA, di cui:</w:t>
            </w:r>
          </w:p>
          <w:p w14:paraId="2FB319AD" w14:textId="77777777" w:rsidR="0047250C" w:rsidRDefault="00000000">
            <w:pPr>
              <w:numPr>
                <w:ilvl w:val="1"/>
                <w:numId w:val="1"/>
              </w:numPr>
              <w:jc w:val="both"/>
            </w:pPr>
            <w:r>
              <w:t>almeno una deve essere stabilita in uno Stato membro dell'UE o in un paese terzo associato a Horizon Europe</w:t>
            </w:r>
            <w:r>
              <w:rPr>
                <w:color w:val="EE0000"/>
              </w:rPr>
              <w:t xml:space="preserve"> </w:t>
            </w:r>
            <w:r>
              <w:t>e che non sia un PPM</w:t>
            </w:r>
          </w:p>
          <w:p w14:paraId="04ECC776" w14:textId="77777777" w:rsidR="0047250C" w:rsidRDefault="00000000">
            <w:pPr>
              <w:numPr>
                <w:ilvl w:val="1"/>
                <w:numId w:val="1"/>
              </w:numPr>
              <w:jc w:val="both"/>
            </w:pPr>
            <w:r>
              <w:t>almeno due devono essere stabilite in un paese terzo/paesi terzi che si affacciano sul Mar Mediterraneo (PPM): Algeria, Giordania, Israele, Tunisia, Marocco, Libano, Egitto, Turchia</w:t>
            </w:r>
          </w:p>
          <w:p w14:paraId="0AACA388" w14:textId="77777777" w:rsidR="0047250C" w:rsidRDefault="00000000">
            <w:pPr>
              <w:numPr>
                <w:ilvl w:val="0"/>
                <w:numId w:val="1"/>
              </w:numPr>
              <w:jc w:val="both"/>
            </w:pPr>
            <w:r>
              <w:t>Il PI può presentare più di una proposta in qualità di coordinatore. Tuttavia, nel caso in cui più proposte vengano selezionate per il finanziamento, il coordinatore dovrà scegliere un progetto da finanziare e ritirare gli altri (un finanziamento all'anno).</w:t>
            </w:r>
          </w:p>
          <w:p w14:paraId="1C0A4B96" w14:textId="77777777" w:rsidR="0047250C" w:rsidRDefault="00000000">
            <w:pPr>
              <w:numPr>
                <w:ilvl w:val="0"/>
                <w:numId w:val="1"/>
              </w:numPr>
              <w:jc w:val="both"/>
            </w:pPr>
            <w:r>
              <w:t xml:space="preserve">Il PI può essere partner di altri progetti. </w:t>
            </w:r>
          </w:p>
          <w:p w14:paraId="52026F4A" w14:textId="77777777" w:rsidR="0047250C" w:rsidRDefault="00000000">
            <w:pPr>
              <w:numPr>
                <w:ilvl w:val="0"/>
                <w:numId w:val="1"/>
              </w:numPr>
              <w:jc w:val="both"/>
            </w:pPr>
            <w:r>
              <w:t>Il PI non può essere coordinatore in entrambi i bandi della Sezione 1 e della Sezione 2 dello stesso anno, ma può essere partner di altre proposte in entrambe le Sezioni, a condizione che le proposte siano diverse in termini di obiettivi, metodologia e composizione del consorzio.</w:t>
            </w:r>
          </w:p>
          <w:p w14:paraId="5E9310B2" w14:textId="77777777" w:rsidR="0047250C" w:rsidRDefault="0047250C">
            <w:pPr>
              <w:spacing w:after="240"/>
              <w:jc w:val="both"/>
              <w:rPr>
                <w:i/>
              </w:rPr>
            </w:pPr>
          </w:p>
          <w:p w14:paraId="4AF47141" w14:textId="77777777" w:rsidR="0047250C" w:rsidRDefault="00000000">
            <w:pPr>
              <w:numPr>
                <w:ilvl w:val="0"/>
                <w:numId w:val="4"/>
              </w:numPr>
              <w:jc w:val="both"/>
              <w:rPr>
                <w:b/>
              </w:rPr>
            </w:pPr>
            <w:r>
              <w:rPr>
                <w:b/>
              </w:rPr>
              <w:t>SOGGETTI AMMISSIBILI AL FINANZIAMENTO PRIMA</w:t>
            </w:r>
          </w:p>
          <w:p w14:paraId="6AFA6020" w14:textId="77777777" w:rsidR="0047250C" w:rsidRDefault="00000000">
            <w:pPr>
              <w:numPr>
                <w:ilvl w:val="2"/>
                <w:numId w:val="4"/>
              </w:numPr>
              <w:jc w:val="both"/>
              <w:rPr>
                <w:i/>
              </w:rPr>
            </w:pPr>
            <w:r>
              <w:rPr>
                <w:i/>
              </w:rPr>
              <w:t>Stati membri dell’UE (SM):</w:t>
            </w:r>
          </w:p>
          <w:p w14:paraId="22468C82" w14:textId="77777777" w:rsidR="0047250C" w:rsidRDefault="00000000">
            <w:pPr>
              <w:numPr>
                <w:ilvl w:val="3"/>
                <w:numId w:val="4"/>
              </w:numPr>
              <w:jc w:val="both"/>
              <w:rPr>
                <w:i/>
              </w:rPr>
            </w:pPr>
            <w:r>
              <w:rPr>
                <w:i/>
              </w:rPr>
              <w:t>Bulgaria, Croazia, Cipro, Francia, Germania, Grecia, Italia, Lussemburgo, Malta, Portogallo, Spagna, Slovenia</w:t>
            </w:r>
          </w:p>
          <w:p w14:paraId="07892BD3" w14:textId="77777777" w:rsidR="0047250C" w:rsidRDefault="00000000">
            <w:pPr>
              <w:numPr>
                <w:ilvl w:val="3"/>
                <w:numId w:val="4"/>
              </w:numPr>
              <w:jc w:val="both"/>
              <w:rPr>
                <w:i/>
              </w:rPr>
            </w:pPr>
            <w:r>
              <w:rPr>
                <w:i/>
              </w:rPr>
              <w:t>Inclusi i Paesi e Territori d’Oltremare (PTOM) collegati a questi Stati.</w:t>
            </w:r>
          </w:p>
          <w:p w14:paraId="3462F3E7" w14:textId="77777777" w:rsidR="0047250C" w:rsidRDefault="00000000">
            <w:pPr>
              <w:numPr>
                <w:ilvl w:val="1"/>
                <w:numId w:val="4"/>
              </w:numPr>
              <w:jc w:val="both"/>
              <w:rPr>
                <w:i/>
              </w:rPr>
            </w:pPr>
            <w:r>
              <w:rPr>
                <w:i/>
              </w:rPr>
              <w:lastRenderedPageBreak/>
              <w:t>Paesi terzi associati (AC) a Horizon Europe:</w:t>
            </w:r>
          </w:p>
          <w:p w14:paraId="5333ABE0" w14:textId="77777777" w:rsidR="0047250C" w:rsidRDefault="00000000">
            <w:pPr>
              <w:numPr>
                <w:ilvl w:val="2"/>
                <w:numId w:val="6"/>
              </w:numPr>
              <w:jc w:val="both"/>
              <w:rPr>
                <w:i/>
              </w:rPr>
            </w:pPr>
            <w:r>
              <w:rPr>
                <w:i/>
              </w:rPr>
              <w:t>Israele, Tunisia, Turchia</w:t>
            </w:r>
          </w:p>
          <w:p w14:paraId="00558ABE" w14:textId="77777777" w:rsidR="0047250C" w:rsidRDefault="00000000">
            <w:pPr>
              <w:numPr>
                <w:ilvl w:val="1"/>
                <w:numId w:val="6"/>
              </w:numPr>
              <w:jc w:val="both"/>
              <w:rPr>
                <w:i/>
              </w:rPr>
            </w:pPr>
            <w:r>
              <w:rPr>
                <w:i/>
              </w:rPr>
              <w:t>Paesi terzi non associati (TC), condizionatamente:</w:t>
            </w:r>
          </w:p>
          <w:p w14:paraId="6CB850BF" w14:textId="77777777" w:rsidR="0047250C" w:rsidRDefault="00000000">
            <w:pPr>
              <w:numPr>
                <w:ilvl w:val="2"/>
                <w:numId w:val="6"/>
              </w:numPr>
              <w:jc w:val="both"/>
              <w:rPr>
                <w:i/>
              </w:rPr>
            </w:pPr>
            <w:r>
              <w:rPr>
                <w:i/>
              </w:rPr>
              <w:t>Algeria, Egitto, Giordania, Libano, Marocco</w:t>
            </w:r>
          </w:p>
          <w:p w14:paraId="75FE924A" w14:textId="77777777" w:rsidR="0047250C" w:rsidRDefault="00000000">
            <w:pPr>
              <w:numPr>
                <w:ilvl w:val="2"/>
                <w:numId w:val="6"/>
              </w:numPr>
              <w:jc w:val="both"/>
              <w:rPr>
                <w:i/>
              </w:rPr>
            </w:pPr>
            <w:r>
              <w:rPr>
                <w:i/>
              </w:rPr>
              <w:t>Ammissibili solo previa conclusione di un accordo con l’Unione (scambio di lettere) che aggiorni le condizioni di partecipazione.</w:t>
            </w:r>
          </w:p>
          <w:p w14:paraId="423F267B" w14:textId="77777777" w:rsidR="0047250C" w:rsidRDefault="00000000">
            <w:pPr>
              <w:numPr>
                <w:ilvl w:val="0"/>
                <w:numId w:val="6"/>
              </w:numPr>
              <w:jc w:val="both"/>
              <w:rPr>
                <w:i/>
              </w:rPr>
            </w:pPr>
            <w:r>
              <w:rPr>
                <w:i/>
                <w:sz w:val="22"/>
                <w:szCs w:val="22"/>
              </w:rPr>
              <w:t xml:space="preserve"> Altre entità giuridiche ammissibili al finanziamento</w:t>
            </w:r>
          </w:p>
          <w:p w14:paraId="0BB4116E" w14:textId="77777777" w:rsidR="0047250C" w:rsidRDefault="00000000">
            <w:pPr>
              <w:numPr>
                <w:ilvl w:val="1"/>
                <w:numId w:val="6"/>
              </w:numPr>
              <w:jc w:val="both"/>
              <w:rPr>
                <w:i/>
              </w:rPr>
            </w:pPr>
            <w:r>
              <w:rPr>
                <w:i/>
                <w:sz w:val="22"/>
                <w:szCs w:val="22"/>
              </w:rPr>
              <w:t>Organizzazioni europee di ricerca e innovazione (ERIO):</w:t>
            </w:r>
          </w:p>
          <w:p w14:paraId="160D6D26" w14:textId="77777777" w:rsidR="0047250C" w:rsidRDefault="00000000">
            <w:pPr>
              <w:numPr>
                <w:ilvl w:val="2"/>
                <w:numId w:val="6"/>
              </w:numPr>
              <w:jc w:val="both"/>
              <w:rPr>
                <w:i/>
              </w:rPr>
            </w:pPr>
            <w:r>
              <w:rPr>
                <w:i/>
              </w:rPr>
              <w:t>Ammissibili indipendentemente dal luogo di stabilimento.</w:t>
            </w:r>
          </w:p>
          <w:p w14:paraId="1C210986" w14:textId="77777777" w:rsidR="0047250C" w:rsidRDefault="00000000">
            <w:pPr>
              <w:numPr>
                <w:ilvl w:val="0"/>
                <w:numId w:val="2"/>
              </w:numPr>
              <w:jc w:val="both"/>
              <w:rPr>
                <w:i/>
              </w:rPr>
            </w:pPr>
            <w:r>
              <w:rPr>
                <w:i/>
              </w:rPr>
              <w:t>Organizzazioni internazionali di interesse europeo:</w:t>
            </w:r>
          </w:p>
          <w:p w14:paraId="3A770E6E" w14:textId="77777777" w:rsidR="0047250C" w:rsidRDefault="00000000">
            <w:pPr>
              <w:numPr>
                <w:ilvl w:val="1"/>
                <w:numId w:val="2"/>
              </w:numPr>
              <w:jc w:val="both"/>
              <w:rPr>
                <w:i/>
              </w:rPr>
            </w:pPr>
            <w:r>
              <w:rPr>
                <w:i/>
              </w:rPr>
              <w:t>Ammissibili al finanziamento se:</w:t>
            </w:r>
          </w:p>
          <w:p w14:paraId="04716702" w14:textId="77777777" w:rsidR="0047250C" w:rsidRDefault="00000000">
            <w:pPr>
              <w:numPr>
                <w:ilvl w:val="2"/>
                <w:numId w:val="2"/>
              </w:numPr>
              <w:jc w:val="both"/>
              <w:rPr>
                <w:i/>
              </w:rPr>
            </w:pPr>
            <w:r>
              <w:rPr>
                <w:i/>
              </w:rPr>
              <w:t>Partecipano ad attività previste dall’art. 3, par. 1, lett. a) della Decisione (UE) 2024/1167.</w:t>
            </w:r>
          </w:p>
          <w:p w14:paraId="0D89716D" w14:textId="77777777" w:rsidR="0047250C" w:rsidRDefault="00000000">
            <w:pPr>
              <w:numPr>
                <w:ilvl w:val="2"/>
                <w:numId w:val="2"/>
              </w:numPr>
              <w:jc w:val="both"/>
              <w:rPr>
                <w:i/>
              </w:rPr>
            </w:pPr>
            <w:r>
              <w:rPr>
                <w:i/>
              </w:rPr>
              <w:t>E sono in una delle due condizioni seguenti:</w:t>
            </w:r>
          </w:p>
          <w:p w14:paraId="6CD110D3" w14:textId="77777777" w:rsidR="0047250C" w:rsidRDefault="00000000">
            <w:pPr>
              <w:numPr>
                <w:ilvl w:val="3"/>
                <w:numId w:val="2"/>
              </w:numPr>
              <w:jc w:val="both"/>
              <w:rPr>
                <w:i/>
              </w:rPr>
            </w:pPr>
            <w:r>
              <w:rPr>
                <w:i/>
              </w:rPr>
              <w:t>(a) Partecipazione essenziale per l’attuazione dell’azione (es. know-how unico, infrastrutture specializzate, ambienti di ricerca geografici rilevanti, dati esclusivi, mercati emergenti).</w:t>
            </w:r>
          </w:p>
          <w:p w14:paraId="2B7F71A1" w14:textId="77777777" w:rsidR="0047250C" w:rsidRDefault="00000000">
            <w:pPr>
              <w:numPr>
                <w:ilvl w:val="3"/>
                <w:numId w:val="2"/>
              </w:numPr>
              <w:jc w:val="both"/>
              <w:rPr>
                <w:i/>
              </w:rPr>
            </w:pPr>
            <w:r>
              <w:rPr>
                <w:i/>
              </w:rPr>
              <w:t>(b) Partecipazione prevista nel programma di lavoro annuale e coperta da un accordo bilaterale (o simile) con l’UE che tuteli gli interessi finanziari dell’Unione.</w:t>
            </w:r>
          </w:p>
        </w:tc>
      </w:tr>
      <w:tr w:rsidR="0047250C" w14:paraId="1BAA28BB" w14:textId="77777777">
        <w:tc>
          <w:tcPr>
            <w:tcW w:w="2547" w:type="dxa"/>
            <w:shd w:val="clear" w:color="auto" w:fill="F2F2F2"/>
          </w:tcPr>
          <w:p w14:paraId="7E4C93C6" w14:textId="77777777" w:rsidR="0047250C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lastRenderedPageBreak/>
              <w:t>Soggetti responsabili/ammessi:</w:t>
            </w:r>
          </w:p>
        </w:tc>
        <w:tc>
          <w:tcPr>
            <w:tcW w:w="6469" w:type="dxa"/>
            <w:gridSpan w:val="2"/>
          </w:tcPr>
          <w:p w14:paraId="5ACE1561" w14:textId="77777777" w:rsidR="0047250C" w:rsidRDefault="00000000">
            <w:pPr>
              <w:spacing w:before="240" w:after="120"/>
              <w:rPr>
                <w:b/>
              </w:rPr>
            </w:pPr>
            <w:r>
              <w:rPr>
                <w:b/>
              </w:rPr>
              <w:t>Università:</w:t>
            </w:r>
          </w:p>
          <w:p w14:paraId="2F170D38" w14:textId="77777777" w:rsidR="0047250C" w:rsidRDefault="00000000">
            <w:pPr>
              <w:spacing w:after="120"/>
              <w:rPr>
                <w:b/>
              </w:rPr>
            </w:pPr>
            <w:r>
              <w:rPr>
                <w:rFonts w:ascii="MS Gothic" w:eastAsia="MS Gothic" w:hAnsi="MS Gothic" w:cs="MS Gothic"/>
                <w:b/>
              </w:rPr>
              <w:t>X☐</w:t>
            </w:r>
            <w:r>
              <w:rPr>
                <w:b/>
              </w:rPr>
              <w:t xml:space="preserve"> Sì</w:t>
            </w:r>
          </w:p>
          <w:p w14:paraId="2262F529" w14:textId="77777777" w:rsidR="0047250C" w:rsidRDefault="00000000">
            <w:pPr>
              <w:spacing w:after="120"/>
              <w:rPr>
                <w:b/>
              </w:rPr>
            </w:pP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No </w:t>
            </w:r>
          </w:p>
          <w:p w14:paraId="4963FB3D" w14:textId="77777777" w:rsidR="0047250C" w:rsidRDefault="00000000">
            <w:pPr>
              <w:spacing w:after="240"/>
              <w:rPr>
                <w:i/>
              </w:rPr>
            </w:pPr>
            <w:r>
              <w:rPr>
                <w:b/>
              </w:rPr>
              <w:t>Altri soggetti responsabili/ ammessi:</w:t>
            </w:r>
          </w:p>
        </w:tc>
      </w:tr>
      <w:tr w:rsidR="0047250C" w14:paraId="69B9E71B" w14:textId="77777777">
        <w:tc>
          <w:tcPr>
            <w:tcW w:w="2547" w:type="dxa"/>
            <w:shd w:val="clear" w:color="auto" w:fill="F2F2F2"/>
          </w:tcPr>
          <w:p w14:paraId="69E9520B" w14:textId="77777777" w:rsidR="0047250C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 xml:space="preserve">Link: </w:t>
            </w:r>
          </w:p>
        </w:tc>
        <w:tc>
          <w:tcPr>
            <w:tcW w:w="6469" w:type="dxa"/>
            <w:gridSpan w:val="2"/>
          </w:tcPr>
          <w:p w14:paraId="36FD4E1B" w14:textId="77777777" w:rsidR="0047250C" w:rsidRDefault="00000000">
            <w:hyperlink r:id="rId11">
              <w:r>
                <w:rPr>
                  <w:color w:val="1155CC"/>
                  <w:u w:val="single"/>
                </w:rPr>
                <w:t>Guida per applicazione</w:t>
              </w:r>
            </w:hyperlink>
          </w:p>
          <w:p w14:paraId="2EAA410B" w14:textId="77777777" w:rsidR="0047250C" w:rsidRDefault="00000000">
            <w:pPr>
              <w:rPr>
                <w:b/>
              </w:rPr>
            </w:pPr>
            <w:hyperlink r:id="rId12">
              <w:r>
                <w:rPr>
                  <w:color w:val="1155CC"/>
                  <w:u w:val="single"/>
                </w:rPr>
                <w:t>Sito web</w:t>
              </w:r>
            </w:hyperlink>
          </w:p>
          <w:p w14:paraId="548E17AA" w14:textId="77777777" w:rsidR="0047250C" w:rsidRDefault="00000000">
            <w:hyperlink r:id="rId13">
              <w:r>
                <w:rPr>
                  <w:color w:val="1155CC"/>
                  <w:u w:val="single"/>
                </w:rPr>
                <w:t>Altri documenti</w:t>
              </w:r>
            </w:hyperlink>
          </w:p>
          <w:p w14:paraId="6A2EB856" w14:textId="77777777" w:rsidR="0047250C" w:rsidRDefault="00000000">
            <w:hyperlink r:id="rId14">
              <w:r>
                <w:rPr>
                  <w:color w:val="1155CC"/>
                  <w:u w:val="single"/>
                </w:rPr>
                <w:t>Bando</w:t>
              </w:r>
            </w:hyperlink>
          </w:p>
          <w:p w14:paraId="1D62A472" w14:textId="77777777" w:rsidR="0047250C" w:rsidRDefault="00000000">
            <w:hyperlink r:id="rId15">
              <w:r>
                <w:rPr>
                  <w:color w:val="1155CC"/>
                  <w:u w:val="single"/>
                </w:rPr>
                <w:t>Area tematica 1</w:t>
              </w:r>
            </w:hyperlink>
          </w:p>
          <w:p w14:paraId="6C4B5DC9" w14:textId="77777777" w:rsidR="0047250C" w:rsidRDefault="00000000">
            <w:hyperlink r:id="rId16">
              <w:r>
                <w:rPr>
                  <w:color w:val="1155CC"/>
                  <w:u w:val="single"/>
                </w:rPr>
                <w:t>Applicazione per area tematica 1</w:t>
              </w:r>
            </w:hyperlink>
          </w:p>
          <w:p w14:paraId="2259E6F3" w14:textId="77777777" w:rsidR="0047250C" w:rsidRDefault="00000000">
            <w:hyperlink r:id="rId17">
              <w:r>
                <w:rPr>
                  <w:color w:val="1155CC"/>
                  <w:u w:val="single"/>
                </w:rPr>
                <w:t>Area tematica 2</w:t>
              </w:r>
            </w:hyperlink>
          </w:p>
          <w:p w14:paraId="6DFDC6BA" w14:textId="77777777" w:rsidR="0047250C" w:rsidRDefault="00000000">
            <w:hyperlink r:id="rId18">
              <w:r>
                <w:rPr>
                  <w:color w:val="1155CC"/>
                  <w:u w:val="single"/>
                </w:rPr>
                <w:t>Applicazione per area tematica 2</w:t>
              </w:r>
            </w:hyperlink>
          </w:p>
          <w:p w14:paraId="3BBDAE3A" w14:textId="77777777" w:rsidR="0047250C" w:rsidRDefault="00000000">
            <w:hyperlink r:id="rId19">
              <w:r>
                <w:rPr>
                  <w:color w:val="1155CC"/>
                  <w:u w:val="single"/>
                </w:rPr>
                <w:t>Area tematica 3</w:t>
              </w:r>
            </w:hyperlink>
          </w:p>
          <w:p w14:paraId="76D1CD32" w14:textId="77777777" w:rsidR="0047250C" w:rsidRDefault="00000000">
            <w:hyperlink r:id="rId20">
              <w:r>
                <w:rPr>
                  <w:color w:val="1155CC"/>
                  <w:u w:val="single"/>
                </w:rPr>
                <w:t>Applicazione per area tematica 3</w:t>
              </w:r>
            </w:hyperlink>
          </w:p>
        </w:tc>
      </w:tr>
      <w:tr w:rsidR="0047250C" w14:paraId="0FF02926" w14:textId="77777777">
        <w:tc>
          <w:tcPr>
            <w:tcW w:w="9016" w:type="dxa"/>
            <w:gridSpan w:val="3"/>
          </w:tcPr>
          <w:p w14:paraId="1BE3DF09" w14:textId="77777777" w:rsidR="0047250C" w:rsidRDefault="0047250C">
            <w:pPr>
              <w:rPr>
                <w:b/>
                <w:sz w:val="18"/>
                <w:szCs w:val="18"/>
              </w:rPr>
            </w:pPr>
          </w:p>
        </w:tc>
      </w:tr>
      <w:tr w:rsidR="0047250C" w14:paraId="7EA5F711" w14:textId="77777777">
        <w:tc>
          <w:tcPr>
            <w:tcW w:w="2547" w:type="dxa"/>
            <w:shd w:val="clear" w:color="auto" w:fill="FFF2CC"/>
          </w:tcPr>
          <w:p w14:paraId="0B675838" w14:textId="77777777" w:rsidR="0047250C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Scadenza domanda:</w:t>
            </w:r>
          </w:p>
        </w:tc>
        <w:tc>
          <w:tcPr>
            <w:tcW w:w="6469" w:type="dxa"/>
            <w:gridSpan w:val="2"/>
            <w:shd w:val="clear" w:color="auto" w:fill="FFF2CC"/>
          </w:tcPr>
          <w:p w14:paraId="16B025C7" w14:textId="77777777" w:rsidR="0047250C" w:rsidRDefault="00000000">
            <w:pPr>
              <w:spacing w:after="240"/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  <w:t>15/07/2025 ora 17:00 Barcellona</w:t>
            </w:r>
            <w:r>
              <w:rPr>
                <w:rFonts w:ascii="Arial" w:eastAsia="Arial" w:hAnsi="Arial" w:cs="Arial"/>
                <w:b/>
                <w:color w:val="FF0000"/>
              </w:rPr>
              <w:t xml:space="preserve"> </w:t>
            </w:r>
          </w:p>
        </w:tc>
      </w:tr>
      <w:tr w:rsidR="0047250C" w14:paraId="25CAF601" w14:textId="77777777">
        <w:tc>
          <w:tcPr>
            <w:tcW w:w="2547" w:type="dxa"/>
            <w:shd w:val="clear" w:color="auto" w:fill="FFF2CC"/>
          </w:tcPr>
          <w:p w14:paraId="400434B9" w14:textId="77777777" w:rsidR="0047250C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Finanziamento (Max/Min/Co-fin):</w:t>
            </w:r>
          </w:p>
        </w:tc>
        <w:tc>
          <w:tcPr>
            <w:tcW w:w="6469" w:type="dxa"/>
            <w:gridSpan w:val="2"/>
            <w:shd w:val="clear" w:color="auto" w:fill="FFF2CC"/>
          </w:tcPr>
          <w:p w14:paraId="7C676642" w14:textId="1132FEAF" w:rsidR="0047250C" w:rsidRDefault="00000000">
            <w:pPr>
              <w:spacing w:after="240"/>
              <w:jc w:val="both"/>
            </w:pPr>
            <w:r>
              <w:rPr>
                <w:b/>
              </w:rPr>
              <w:t>Tasso di finanziamento:</w:t>
            </w:r>
            <w:r>
              <w:t xml:space="preserve"> </w:t>
            </w:r>
            <w:r w:rsidR="004A5FFE" w:rsidRPr="004A5FFE">
              <w:t>70% per le entità giuridiche a scopo di lucro; Fino al 100% per le entità giuridiche senza scopo di lucro.</w:t>
            </w:r>
          </w:p>
        </w:tc>
      </w:tr>
      <w:tr w:rsidR="0047250C" w14:paraId="65578127" w14:textId="77777777">
        <w:tc>
          <w:tcPr>
            <w:tcW w:w="9016" w:type="dxa"/>
            <w:gridSpan w:val="3"/>
            <w:shd w:val="clear" w:color="auto" w:fill="FBE5D5"/>
          </w:tcPr>
          <w:p w14:paraId="764C39EF" w14:textId="77777777" w:rsidR="0047250C" w:rsidRDefault="00000000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VALUTAZIONE AD OPERA DELL’UFFICIO RICERCA</w:t>
            </w:r>
          </w:p>
        </w:tc>
      </w:tr>
      <w:tr w:rsidR="0047250C" w14:paraId="3BB14EDE" w14:textId="77777777">
        <w:tc>
          <w:tcPr>
            <w:tcW w:w="2547" w:type="dxa"/>
            <w:tcBorders>
              <w:bottom w:val="single" w:sz="12" w:space="0" w:color="000000"/>
            </w:tcBorders>
            <w:shd w:val="clear" w:color="auto" w:fill="F2F2F2"/>
          </w:tcPr>
          <w:p w14:paraId="6902B4C5" w14:textId="77777777" w:rsidR="0047250C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Costi ammissibili:</w:t>
            </w:r>
          </w:p>
        </w:tc>
        <w:tc>
          <w:tcPr>
            <w:tcW w:w="6469" w:type="dxa"/>
            <w:gridSpan w:val="2"/>
            <w:tcBorders>
              <w:bottom w:val="single" w:sz="12" w:space="0" w:color="000000"/>
            </w:tcBorders>
          </w:tcPr>
          <w:p w14:paraId="346F8AB4" w14:textId="237D6F5B" w:rsidR="0047250C" w:rsidRDefault="00000000" w:rsidP="0075491F">
            <w:pPr>
              <w:pStyle w:val="Paragrafoelenco"/>
              <w:numPr>
                <w:ilvl w:val="0"/>
                <w:numId w:val="7"/>
              </w:numPr>
              <w:spacing w:after="240"/>
              <w:jc w:val="both"/>
            </w:pPr>
            <w:r>
              <w:t>Costi del personale</w:t>
            </w:r>
          </w:p>
          <w:p w14:paraId="7ECC589F" w14:textId="77777777" w:rsidR="0075491F" w:rsidRDefault="00000000" w:rsidP="0075491F">
            <w:pPr>
              <w:pStyle w:val="Paragrafoelenco"/>
              <w:numPr>
                <w:ilvl w:val="0"/>
                <w:numId w:val="7"/>
              </w:numPr>
              <w:spacing w:after="240"/>
              <w:jc w:val="both"/>
            </w:pPr>
            <w:r>
              <w:t xml:space="preserve">Costi </w:t>
            </w:r>
            <w:proofErr w:type="spellStart"/>
            <w:r w:rsidR="0075491F">
              <w:t>Subcontracting</w:t>
            </w:r>
            <w:proofErr w:type="spellEnd"/>
          </w:p>
          <w:p w14:paraId="45DD5A95" w14:textId="77777777" w:rsidR="0075491F" w:rsidRDefault="00000000" w:rsidP="0075491F">
            <w:pPr>
              <w:pStyle w:val="Paragrafoelenco"/>
              <w:numPr>
                <w:ilvl w:val="0"/>
                <w:numId w:val="7"/>
              </w:numPr>
              <w:spacing w:after="240"/>
              <w:jc w:val="both"/>
            </w:pPr>
            <w:r>
              <w:t>Costi di acquisto:</w:t>
            </w:r>
          </w:p>
          <w:p w14:paraId="50613595" w14:textId="77777777" w:rsidR="0075491F" w:rsidRDefault="0075491F" w:rsidP="0075491F">
            <w:pPr>
              <w:pStyle w:val="Paragrafoelenco"/>
              <w:spacing w:after="240"/>
              <w:jc w:val="both"/>
            </w:pPr>
            <w:r>
              <w:t>○</w:t>
            </w:r>
            <w:r>
              <w:tab/>
              <w:t>Viaggi e soggiorni</w:t>
            </w:r>
          </w:p>
          <w:p w14:paraId="3C517629" w14:textId="77777777" w:rsidR="0075491F" w:rsidRDefault="0075491F" w:rsidP="0075491F">
            <w:pPr>
              <w:pStyle w:val="Paragrafoelenco"/>
              <w:spacing w:after="240"/>
              <w:jc w:val="both"/>
            </w:pPr>
            <w:r>
              <w:t>○</w:t>
            </w:r>
            <w:r>
              <w:tab/>
              <w:t xml:space="preserve">Attrezzature </w:t>
            </w:r>
          </w:p>
          <w:p w14:paraId="0D72CF18" w14:textId="1C2EE55A" w:rsidR="0075491F" w:rsidRDefault="0075491F" w:rsidP="0075491F">
            <w:pPr>
              <w:pStyle w:val="Paragrafoelenco"/>
              <w:spacing w:after="240"/>
              <w:jc w:val="both"/>
            </w:pPr>
            <w:r>
              <w:t>○</w:t>
            </w:r>
            <w:r>
              <w:tab/>
              <w:t>Altri beni, lavori e servizi</w:t>
            </w:r>
          </w:p>
          <w:p w14:paraId="6142F7CD" w14:textId="77777777" w:rsidR="0075491F" w:rsidRDefault="00000000" w:rsidP="0075491F">
            <w:pPr>
              <w:pStyle w:val="Paragrafoelenco"/>
              <w:numPr>
                <w:ilvl w:val="0"/>
                <w:numId w:val="7"/>
              </w:numPr>
              <w:spacing w:after="240"/>
              <w:jc w:val="both"/>
            </w:pPr>
            <w:r>
              <w:t>Altre categorie di costo</w:t>
            </w:r>
          </w:p>
          <w:p w14:paraId="44383761" w14:textId="36041242" w:rsidR="0047250C" w:rsidRDefault="00000000" w:rsidP="0075491F">
            <w:pPr>
              <w:pStyle w:val="Paragrafoelenco"/>
              <w:numPr>
                <w:ilvl w:val="0"/>
                <w:numId w:val="7"/>
              </w:numPr>
              <w:spacing w:after="240"/>
              <w:jc w:val="both"/>
            </w:pPr>
            <w:r>
              <w:t>Costi indiretti</w:t>
            </w:r>
            <w:r w:rsidR="0075491F">
              <w:t xml:space="preserve"> 25% (</w:t>
            </w:r>
            <w:proofErr w:type="spellStart"/>
            <w:r w:rsidR="0075491F">
              <w:t>a+c</w:t>
            </w:r>
            <w:proofErr w:type="spellEnd"/>
            <w:r w:rsidR="0075491F">
              <w:t>)</w:t>
            </w:r>
          </w:p>
        </w:tc>
      </w:tr>
      <w:tr w:rsidR="0047250C" w14:paraId="6F1C18D4" w14:textId="77777777">
        <w:tc>
          <w:tcPr>
            <w:tcW w:w="2547" w:type="dxa"/>
            <w:tcBorders>
              <w:bottom w:val="single" w:sz="12" w:space="0" w:color="000000"/>
            </w:tcBorders>
            <w:shd w:val="clear" w:color="auto" w:fill="F2F2F2"/>
          </w:tcPr>
          <w:p w14:paraId="1C2B7131" w14:textId="77777777" w:rsidR="0047250C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Note e considerazioni:</w:t>
            </w:r>
          </w:p>
        </w:tc>
        <w:tc>
          <w:tcPr>
            <w:tcW w:w="6469" w:type="dxa"/>
            <w:gridSpan w:val="2"/>
            <w:tcBorders>
              <w:bottom w:val="single" w:sz="12" w:space="0" w:color="000000"/>
            </w:tcBorders>
          </w:tcPr>
          <w:p w14:paraId="49A236C6" w14:textId="77777777" w:rsidR="0047250C" w:rsidRDefault="0047250C">
            <w:pPr>
              <w:spacing w:after="240"/>
              <w:rPr>
                <w:b/>
              </w:rPr>
            </w:pPr>
          </w:p>
        </w:tc>
      </w:tr>
      <w:tr w:rsidR="0047250C" w14:paraId="6A081629" w14:textId="77777777">
        <w:tc>
          <w:tcPr>
            <w:tcW w:w="450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23F1611F" w14:textId="77777777" w:rsidR="0047250C" w:rsidRDefault="00000000">
            <w:pPr>
              <w:spacing w:before="240" w:after="120"/>
              <w:ind w:left="720"/>
              <w:rPr>
                <w:b/>
              </w:rPr>
            </w:pPr>
            <w:r>
              <w:rPr>
                <w:b/>
              </w:rPr>
              <w:t>Livello di interesse:</w:t>
            </w:r>
          </w:p>
          <w:p w14:paraId="7E27AF82" w14:textId="77777777" w:rsidR="0047250C" w:rsidRDefault="00000000">
            <w:pPr>
              <w:spacing w:after="120"/>
              <w:ind w:left="720"/>
              <w:rPr>
                <w:b/>
              </w:rPr>
            </w:pP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Alto</w:t>
            </w:r>
          </w:p>
          <w:p w14:paraId="538518D8" w14:textId="77777777" w:rsidR="0047250C" w:rsidRDefault="00000000">
            <w:pPr>
              <w:spacing w:after="120"/>
              <w:ind w:left="720"/>
              <w:rPr>
                <w:b/>
              </w:rPr>
            </w:pP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Medio </w:t>
            </w:r>
          </w:p>
          <w:p w14:paraId="3416F1CF" w14:textId="77777777" w:rsidR="0047250C" w:rsidRDefault="00000000">
            <w:pPr>
              <w:spacing w:after="120"/>
              <w:ind w:left="720"/>
              <w:rPr>
                <w:b/>
              </w:rPr>
            </w:pP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Basso</w:t>
            </w:r>
          </w:p>
        </w:tc>
        <w:tc>
          <w:tcPr>
            <w:tcW w:w="450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F4755C8" w14:textId="77777777" w:rsidR="0047250C" w:rsidRDefault="00000000">
            <w:pPr>
              <w:spacing w:before="240" w:after="120"/>
              <w:ind w:left="720"/>
              <w:rPr>
                <w:b/>
              </w:rPr>
            </w:pPr>
            <w:r>
              <w:rPr>
                <w:b/>
              </w:rPr>
              <w:t xml:space="preserve">Infografica: </w:t>
            </w:r>
          </w:p>
          <w:p w14:paraId="1EB2D3B8" w14:textId="77777777" w:rsidR="0047250C" w:rsidRDefault="00000000">
            <w:pPr>
              <w:spacing w:after="120"/>
              <w:ind w:left="720"/>
              <w:rPr>
                <w:b/>
              </w:rPr>
            </w:pP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Sì </w:t>
            </w:r>
          </w:p>
          <w:p w14:paraId="4D70E946" w14:textId="77777777" w:rsidR="0047250C" w:rsidRDefault="00000000">
            <w:pPr>
              <w:spacing w:after="120"/>
              <w:ind w:left="720"/>
              <w:rPr>
                <w:b/>
              </w:rPr>
            </w:pP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No </w:t>
            </w:r>
          </w:p>
          <w:p w14:paraId="7FB1FB71" w14:textId="77777777" w:rsidR="0047250C" w:rsidRDefault="00000000">
            <w:pPr>
              <w:spacing w:after="240"/>
              <w:ind w:left="720"/>
              <w:rPr>
                <w:b/>
              </w:rPr>
            </w:pP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In attesa</w:t>
            </w:r>
          </w:p>
        </w:tc>
      </w:tr>
    </w:tbl>
    <w:p w14:paraId="53470354" w14:textId="77777777" w:rsidR="0047250C" w:rsidRDefault="0047250C"/>
    <w:sectPr w:rsidR="0047250C">
      <w:headerReference w:type="default" r:id="rId21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4116F" w14:textId="77777777" w:rsidR="00CB5F43" w:rsidRDefault="00CB5F43">
      <w:r>
        <w:separator/>
      </w:r>
    </w:p>
  </w:endnote>
  <w:endnote w:type="continuationSeparator" w:id="0">
    <w:p w14:paraId="47228729" w14:textId="77777777" w:rsidR="00CB5F43" w:rsidRDefault="00CB5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E1D31D30-D34A-4B0A-ABFB-BF95DBB35C9D}"/>
    <w:embedBold r:id="rId2" w:fontKey="{EC65E51E-4DBE-4D46-AED4-AB8E8C24CA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2199C6E-E3EA-42FE-80FA-62C32C465F1B}"/>
    <w:embedBold r:id="rId4" w:fontKey="{D519896B-FDA3-4E2D-BB27-ACFDF772B641}"/>
    <w:embedItalic r:id="rId5" w:fontKey="{84916895-71AC-433A-92D1-4459021D5F9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8F02F49-920F-4972-BB7C-1A2AEA396DE5}"/>
    <w:embedItalic r:id="rId7" w:fontKey="{A38B3DD3-AD3A-447A-B126-7975299B050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8" w:subsetted="1" w:fontKey="{C8CB5390-7DFB-4E5C-8B55-9248488F6A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A057864-37C2-4761-9BB5-C5C5B834E91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C4C25" w14:textId="77777777" w:rsidR="00CB5F43" w:rsidRDefault="00CB5F43">
      <w:r>
        <w:separator/>
      </w:r>
    </w:p>
  </w:footnote>
  <w:footnote w:type="continuationSeparator" w:id="0">
    <w:p w14:paraId="61D584C8" w14:textId="77777777" w:rsidR="00CB5F43" w:rsidRDefault="00CB5F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A50B0" w14:textId="77777777" w:rsidR="0047250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b/>
        <w:color w:val="000000"/>
      </w:rPr>
    </w:pPr>
    <w:r>
      <w:rPr>
        <w:b/>
        <w:color w:val="1F4E79"/>
        <w:sz w:val="36"/>
        <w:szCs w:val="36"/>
      </w:rPr>
      <w:t>SCOUTING DEI BANDI DI RICERCA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7D41E9B8" wp14:editId="64B02FE1">
          <wp:simplePos x="0" y="0"/>
          <wp:positionH relativeFrom="column">
            <wp:posOffset>0</wp:posOffset>
          </wp:positionH>
          <wp:positionV relativeFrom="paragraph">
            <wp:posOffset>-122545</wp:posOffset>
          </wp:positionV>
          <wp:extent cx="1087120" cy="514350"/>
          <wp:effectExtent l="0" t="0" r="0" b="0"/>
          <wp:wrapNone/>
          <wp:docPr id="9" name="image1.jpg" descr="Immagine che contiene testo, Carattere, logo, simbol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 che contiene testo, Carattere, logo, simbol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712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D7BA9"/>
    <w:multiLevelType w:val="multilevel"/>
    <w:tmpl w:val="9CC25FB2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Montserrat" w:hAnsi="Montserrat" w:cs="Montserrat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B919B3"/>
    <w:multiLevelType w:val="multilevel"/>
    <w:tmpl w:val="54F014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0A3AFF"/>
    <w:multiLevelType w:val="multilevel"/>
    <w:tmpl w:val="ED1AA7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6BC2EA0"/>
    <w:multiLevelType w:val="hybridMultilevel"/>
    <w:tmpl w:val="03CC07C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7D7792"/>
    <w:multiLevelType w:val="multilevel"/>
    <w:tmpl w:val="BED0E1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64E2604"/>
    <w:multiLevelType w:val="multilevel"/>
    <w:tmpl w:val="2048D4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2C03904"/>
    <w:multiLevelType w:val="multilevel"/>
    <w:tmpl w:val="F74E30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19345643">
    <w:abstractNumId w:val="5"/>
  </w:num>
  <w:num w:numId="2" w16cid:durableId="344333696">
    <w:abstractNumId w:val="1"/>
  </w:num>
  <w:num w:numId="3" w16cid:durableId="390733620">
    <w:abstractNumId w:val="6"/>
  </w:num>
  <w:num w:numId="4" w16cid:durableId="35356445">
    <w:abstractNumId w:val="2"/>
  </w:num>
  <w:num w:numId="5" w16cid:durableId="1751808749">
    <w:abstractNumId w:val="0"/>
  </w:num>
  <w:num w:numId="6" w16cid:durableId="757560861">
    <w:abstractNumId w:val="4"/>
  </w:num>
  <w:num w:numId="7" w16cid:durableId="713702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50C"/>
    <w:rsid w:val="0047250C"/>
    <w:rsid w:val="004A5FFE"/>
    <w:rsid w:val="0075491F"/>
    <w:rsid w:val="00CB5F43"/>
    <w:rsid w:val="00CD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013F5"/>
  <w15:docId w15:val="{D49AEDFC-9DED-4C2C-83C7-49D373DF5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7549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ima-med.org/funding-opportunities-prima-2025s-calls-are-now-open/" TargetMode="External"/><Relationship Id="rId13" Type="http://schemas.openxmlformats.org/officeDocument/2006/relationships/hyperlink" Target="https://prima-med.org/documents-reports/" TargetMode="External"/><Relationship Id="rId18" Type="http://schemas.openxmlformats.org/officeDocument/2006/relationships/hyperlink" Target="https://aap.agencerecherche.fr/_layouts/15/SIM/Pages/AAPNonOuvert.htm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prima-med.org/funding-opportunities-prima-2025s-calls-are-now-open/" TargetMode="External"/><Relationship Id="rId17" Type="http://schemas.openxmlformats.org/officeDocument/2006/relationships/hyperlink" Target="https://prima-med.org/submit-your-project/farming-systems-in-the-nexu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ap.agencerecherche.fr/_layouts/15/SIM/Pages/AAPNonOuvert.htm" TargetMode="External"/><Relationship Id="rId20" Type="http://schemas.openxmlformats.org/officeDocument/2006/relationships/hyperlink" Target="https://aap.agencerecherche.fr/_layouts/15/SIM/Pages/AAPNonOuvert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ima-med.org/wp-content/uploads/2025/04/S1-Guidelines-for-Applicants-2025-final.pdfhttps://prima-med.org/wp-content/uploads/2025/04/S1-Guidelines-for-Applicants-2025-final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rima-med.org/submit-your-project/water-management-in-the-nexus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prima-med.org/documents-reports/" TargetMode="External"/><Relationship Id="rId19" Type="http://schemas.openxmlformats.org/officeDocument/2006/relationships/hyperlink" Target="https://prima-med.org/submit-your-project/food-value-chain-in-the-nexu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ima-med.org/submit-your-project/section-2-multi-topics-2024/" TargetMode="External"/><Relationship Id="rId14" Type="http://schemas.openxmlformats.org/officeDocument/2006/relationships/hyperlink" Target="https://prima-med.org/wp-content/uploads/2025/04/PRIMA-Work-Programme-2025-adopted-C.pdf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RZ1oWHGEvtRTPGE0HCAkvyovdw==">CgMxLjA4AHIhMUtWTFpqc2QwUlI1NUVQSndLXzkwdzhXX3VsOUN6RXBw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1032</Words>
  <Characters>5888</Characters>
  <Application>Microsoft Office Word</Application>
  <DocSecurity>0</DocSecurity>
  <Lines>49</Lines>
  <Paragraphs>13</Paragraphs>
  <ScaleCrop>false</ScaleCrop>
  <Company/>
  <LinksUpToDate>false</LinksUpToDate>
  <CharactersWithSpaces>6907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 37</cp:lastModifiedBy>
  <cp:revision>3</cp:revision>
  <dcterms:created xsi:type="dcterms:W3CDTF">2025-05-28T13:17:00Z</dcterms:created>
  <dcterms:modified xsi:type="dcterms:W3CDTF">2025-06-11T16:18:00Z</dcterms:modified>
</cp:coreProperties>
</file>