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961"/>
        <w:gridCol w:w="4508"/>
        <w:tblGridChange w:id="0">
          <w:tblGrid>
            <w:gridCol w:w="2547"/>
            <w:gridCol w:w="1961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 SCOUTING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Periodo di scouting: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10/02/2026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Fonte: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https://researchscholars.gilead.com/solid_tumors_ace/program-specifics/scientific-focus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BANDO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Ente proponente: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Gilead - Research Scholars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Tipologia di bando: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Gilead Sciences Research Scholars Program in Solid Tumors 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Bando/call: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240" w:lineRule="auto"/>
              <w:rPr>
                <w:b w:val="1"/>
                <w:bCs w:val="1"/>
              </w:rPr>
            </w:pPr>
            <w:hyperlink r:id="rId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Solid Tumor Research Scholars Overview (ACE)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Tema/obiettivo del bando: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Il programma è progettato per supportare la ricerca preclinica e clinica nel campo dei tumori solidi in oncologia in Australia, Canada ed Europa. Per il ciclo 2026, il programma si concentrerà sul carcinoma mammario, endometriale e polmonare. Le aree di ricerca possono includere, ma non sono limitate 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Disparità e disuguaglianze nell’assistenza oncologica</w:t>
              <w:br w:type="textWrapping"/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Approcci agnostici per il targeting dei tumori solidi</w:t>
              <w:br w:type="textWrapping"/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Strategie terapeutiche combinate e/o approcci combinatori al trattamento</w:t>
              <w:br w:type="textWrapping"/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Identificazione dei meccanismi di resistenza e nuovi approcci per affrontarli</w:t>
              <w:br w:type="textWrapping"/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Modalità terapeutiche e approcci al trattamento trasformativi</w:t>
              <w:br w:type="textWrapping"/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Fattori specifici del paziente come predittori di tossicità</w:t>
              <w:br w:type="textWrapping"/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Polimorfismi nel genoma e impatto sulla risposta al trattamento</w:t>
              <w:br w:type="textWrapping"/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Nuovi target e/o biomarcatori/tecniche di imaging</w:t>
              <w:br w:type="textWrapping"/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Nuove strategie diagnostiche, di prevenzione e di trattamento</w:t>
              <w:br w:type="textWrapping"/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Ricerca finalizzata al miglioramento della Qualità di Vita (QoL) e degli esiti riportati dai pazienti (Patient-Reported Outcomes, PRO), ad esempio eventi avversi e bisogni non soddisfatti dei pazienti</w:t>
              <w:br w:type="textWrapping"/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Qualsiasi altra ricerca preclinica o clinica che affronti un bisogno medico insoddisfatto o una lacuna nelle conoscenze scientifiche</w:t>
            </w:r>
          </w:p>
          <w:p w:rsidR="00000000" w:rsidDel="00000000" w:rsidP="00000000" w:rsidRDefault="00000000" w:rsidRPr="00000000" w14:paraId="0000002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Requisiti: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 di inclusione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Scienziati a inizio carriera con una solida esperienza di ricerca documentata da pubblicazioni, che ricoprano una posizione presso un’istituzione di ricerca per tutta la durata del finanziamento.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Essere in possesso di un titolo di MD o PhD (o titolo equivalente) al momento della presentazione della domanda.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Il titolo di MD deve essere stato conseguito negli ultimi 10 anni, oppure il titolo di PhD deve essere stato conseguito negli ultimi 5 anni.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ind w:left="720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Nota bene: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questo finanziamento è destinato a ricercatori nelle prime fasi della carriera; pertanto, coloro che hanno conseguito un MD oltre 10 anni fa e che molti anni dopo hanno ottenuto un PhD difficilmente saranno considerati ricercatori a inizio carriera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Avere un mentore di ricerca con ampia esperienza nel campo dell’Oncologia dei tumori solidi (è ammessa la co-tutela).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Essere in grado di dedicare almeno il 30% del proprio tempo professionale alla ricerca per l’intero periodo di finanziamento di 2 anni (in contrapposizione a incarichi amministrativi, assistenziali o didattici).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Essere in grado di completare il progetto di ricerca proposto entro il periodo di finanziamento di 2 anni, fornendo evidenze dei risultati (manoscritti, presentazioni o abstract) derivanti dalla ricerca.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Dimostrare un forte interesse di carriera nell’Oncologia dei tumori solidi.</w:t>
            </w:r>
          </w:p>
          <w:p w:rsidR="00000000" w:rsidDel="00000000" w:rsidP="00000000" w:rsidRDefault="00000000" w:rsidRPr="00000000" w14:paraId="0000003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 di esclusione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 proposte che investigano prodotti Gilead non sono idonee al finanziamento tramite il Research Scholars Program.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prodotti generici possono emergere naturalmente nel contesto della ricerca, in modo equilibrato, nell’ambito di studi sulla gestione o sulla prevenzione. Ciò è consentito; tuttavia, devono essere trattati in modo generale, poiché le proposte non devono indagare la sicurezza, l’efficacia, la tollerabilità o il rapporto costo-efficacia di un prodotto specifico, né confrontare prodotti tra loro.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Studi clinici o sperimentazioni interventistiche che prevedano la somministrazione di qualsiasi farmaco ai pazienti.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co-principal investigator non sono idonei al finanziamento.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Finanziamenti duplicativi: il contributo RSP non può sovrapporsi ad altri finanziamenti attuali o in corso di valutazione. Può essere utilizzato per sostenere un progetto di ricerca più ampio, purché supporti una sua componente specifica.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Candidati con visti di durata inferiore al periodo di finanziamento di 2 anni che non possano fornire evidenza della copertura contrattuale per l’intera durata prevista.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Candidati che non rientrano nella definizione di “ricercatori a inizio carriera”, ad esempio coloro che hanno conseguito una laurea in Medicina al di fuori dei criteri di inclusione e successivamente completato un PhD (o titolo equivalente) molti anni dopo.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il finanziamento RSP è destinato a ricercatori a inizio carriera promettenti.Possono essere previste eccezioni a quanto sopra, ad esempio in caso di periodi di assenza per congedo parentale o lutto familiare. 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Inoltre,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 candidati devono risiedere in uno dei seguenti Paesi/regioni idonei: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Europa (tutti i Paesi)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Canada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Australia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 candidato deve essere cittadino o residente permanente del Paese/regione in cui intende svolgere la ricerca oppure, fatte salve le qualifiche indicate di seguito, essere titolare di un visto temporaneo per studio o di un visto per non immigrati.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Tale visto deve essere valido e deve consentire al candidato di svolgere l’attività di ricerca per l’intero periodo di finanziamento di due anni nel Paese/regione in cui la ricerca verrà condotta.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 visto per non immigrati o il permesso di lavoro deve essere valido per l’intera durata del finanziamento di due anni, oppure il candidato deve essere in grado di dimostrare di essere idoneo a un’estensione, rinnovo o a un diverso status che gli consenta di svolgere la ricerca nella giurisdizione pertinente per tutta la durata del periodo di finanziamento di due anni.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DURATA DEL FINANZIAMENTO: Due anni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 finanziamento per il secondo anno è subordinato alla presentazione di una relazione sullo stato di avanzamento da parte del presidente del Comitato di Revisione Scientifica che supervisiona il programma.</w:t>
            </w:r>
          </w:p>
          <w:p w:rsidR="00000000" w:rsidDel="00000000" w:rsidP="00000000" w:rsidRDefault="00000000" w:rsidRPr="00000000" w14:paraId="0000005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Soggetti responsabili/ammessi: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12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Università: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spacing w:after="120" w:before="0" w:beforeAutospacing="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7">
            <w:pPr>
              <w:spacing w:after="120" w:befor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Altri soggetti responsabili/ ammessi: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after="120" w:befor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Istituti di ricerca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240" w:lineRule="auto"/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Application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lineRule="auto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Criteri per l'Application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40" w:lineRule="auto"/>
              <w:rPr>
                <w:b w:val="1"/>
                <w:bCs w:val="1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Sito Web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lineRule="auto"/>
              <w:rPr>
                <w:b w:val="1"/>
                <w:bCs w:val="1"/>
              </w:rPr>
            </w:pPr>
            <w:hyperlink r:id="rId1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Bando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lineRule="auto"/>
              <w:rPr>
                <w:b w:val="1"/>
                <w:bCs w:val="1"/>
              </w:rPr>
            </w:pP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Requisiti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lineRule="auto"/>
              <w:rPr>
                <w:b w:val="1"/>
                <w:bCs w:val="1"/>
              </w:rPr>
            </w:pPr>
            <w:hyperlink r:id="rId14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Processo di selezione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40" w:lineRule="auto"/>
              <w:rPr>
                <w:b w:val="1"/>
                <w:bCs w:val="1"/>
              </w:rPr>
            </w:pPr>
            <w:hyperlink r:id="rId15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Criteri di selezione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40" w:lineRule="auto"/>
              <w:rPr>
                <w:b w:val="1"/>
                <w:bCs w:val="1"/>
              </w:rPr>
            </w:pP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7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Scadenza domanda:</w:t>
            </w:r>
          </w:p>
        </w:tc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68">
            <w:pPr>
              <w:spacing w:after="240" w:lineRule="auto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6"/>
                <w:szCs w:val="26"/>
                <w:rtl w:val="0"/>
              </w:rPr>
              <w:t xml:space="preserve">13 MARZO 2026, ore 23:59 (CET)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A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Finanziamento (Max/Min/Co-fin):</w:t>
            </w:r>
          </w:p>
        </w:tc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 finanziamenti fino a 180.000 USD cadauno (inclusi eventuali costi indiretti) erogati in rate annuali fino a 90.000 USD all’anno per un periodo di 2 anni.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be5d5" w:val="clear"/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VALUTAZIONE AD OPERA DELL’UFFICIO RICERCA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Costi ammissibili:</w:t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 finanziamento mira a massimizzare l’impatto della ricerca, limitando i costi indiretti, che non possono superare il 10% del totale. Il contributo è considerato una donazione e non un assegno/borsa di ricerca; i costi indiretti includono spese generali istituzionali come manutenzione e costi amministrativi.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È possibile destinare fino a 75.000 USD all’anno a stipendi e benefici accessori per il candidato e/o personale di supporto tecnico, ma non per mentori o studenti.</w:t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 budget può coprire materiali di consumo (prodotti chimici, kit, animali, ecc.). Non è consentito l’acquisto di attrezzature durevoli, mentre è ammesso il noleggio o leasing; eventuali singoli acquisti di attrezzature superiori a 2.500 USD non sono ammessi.</w:t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Infine, sono consentite spese di viaggio fino a 1.500 USD all’anno per la partecipazione del candidato a congressi scientifici per la presentazione dei risultati.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 e considerazioni:</w:t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spacing w:after="120" w:before="24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di interesse:</w:t>
            </w:r>
          </w:p>
          <w:p w:rsidR="00000000" w:rsidDel="00000000" w:rsidP="00000000" w:rsidRDefault="00000000" w:rsidRPr="00000000" w14:paraId="0000007E">
            <w:pPr>
              <w:spacing w:after="12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Alto</w:t>
            </w:r>
          </w:p>
          <w:p w:rsidR="00000000" w:rsidDel="00000000" w:rsidP="00000000" w:rsidRDefault="00000000" w:rsidRPr="00000000" w14:paraId="0000007F">
            <w:pPr>
              <w:spacing w:after="12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Medio </w:t>
            </w:r>
          </w:p>
          <w:p w:rsidR="00000000" w:rsidDel="00000000" w:rsidP="00000000" w:rsidRDefault="00000000" w:rsidRPr="00000000" w14:paraId="00000080">
            <w:pPr>
              <w:spacing w:after="12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Basso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spacing w:after="120" w:before="24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Infografica: </w:t>
            </w:r>
          </w:p>
          <w:p w:rsidR="00000000" w:rsidDel="00000000" w:rsidP="00000000" w:rsidRDefault="00000000" w:rsidRPr="00000000" w14:paraId="00000083">
            <w:pPr>
              <w:spacing w:after="12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Sì </w:t>
            </w:r>
          </w:p>
          <w:p w:rsidR="00000000" w:rsidDel="00000000" w:rsidP="00000000" w:rsidRDefault="00000000" w:rsidRPr="00000000" w14:paraId="00000084">
            <w:pPr>
              <w:spacing w:after="12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No </w:t>
            </w:r>
          </w:p>
          <w:p w:rsidR="00000000" w:rsidDel="00000000" w:rsidP="00000000" w:rsidRDefault="00000000" w:rsidRPr="00000000" w14:paraId="00000085">
            <w:pPr>
              <w:spacing w:after="24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In attesa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1f4e79"/>
        <w:sz w:val="36"/>
        <w:szCs w:val="36"/>
        <w:u w:val="none"/>
        <w:shd w:fill="auto" w:val="clear"/>
        <w:vertAlign w:val="baseline"/>
        <w:rtl w:val="0"/>
      </w:rPr>
      <w:t xml:space="preserve">SCOUTING DEI BANDI DI RICERCA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-122554</wp:posOffset>
          </wp:positionV>
          <wp:extent cx="1087120" cy="514350"/>
          <wp:effectExtent b="0" l="0" r="0" t="0"/>
          <wp:wrapNone/>
          <wp:docPr descr="Immagine che contiene testo, Carattere, logo, simbolo&#10;&#10;Descrizione generata automaticamente" id="5" name="image1.jpg"/>
          <a:graphic>
            <a:graphicData uri="http://schemas.openxmlformats.org/drawingml/2006/picture">
              <pic:pic>
                <pic:nvPicPr>
                  <pic:cNvPr descr="Immagine che contiene testo, Carattere, logo, simbol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712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C020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FB3119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B00D3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00D34"/>
  </w:style>
  <w:style w:type="paragraph" w:styleId="Pidipagina">
    <w:name w:val="footer"/>
    <w:basedOn w:val="Normale"/>
    <w:link w:val="PidipaginaCarattere"/>
    <w:uiPriority w:val="99"/>
    <w:unhideWhenUsed w:val="1"/>
    <w:rsid w:val="00B00D3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00D34"/>
  </w:style>
  <w:style w:type="character" w:styleId="Enfasigrassetto">
    <w:name w:val="Strong"/>
    <w:basedOn w:val="Carpredefinitoparagrafo"/>
    <w:uiPriority w:val="22"/>
    <w:qFormat w:val="1"/>
    <w:rsid w:val="005842B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searchscholars.gilead.com/" TargetMode="External"/><Relationship Id="rId10" Type="http://schemas.openxmlformats.org/officeDocument/2006/relationships/hyperlink" Target="https://researchscholars.gilead.com/solid_tumors_ace/application-essentials" TargetMode="External"/><Relationship Id="rId13" Type="http://schemas.openxmlformats.org/officeDocument/2006/relationships/hyperlink" Target="https://researchscholars.gilead.com/solid_tumors_ace/program-specifics/eligibility" TargetMode="External"/><Relationship Id="rId12" Type="http://schemas.openxmlformats.org/officeDocument/2006/relationships/hyperlink" Target="https://researchscholars.gilead.com/solid_tumors_ace/program-specifics/over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licationscholars.gilead.com/solid_tumors_ace/applications" TargetMode="External"/><Relationship Id="rId15" Type="http://schemas.openxmlformats.org/officeDocument/2006/relationships/hyperlink" Target="https://researchscholars.gilead.com/solid_tumors_ace/program-specifics/scoring-criteria" TargetMode="External"/><Relationship Id="rId14" Type="http://schemas.openxmlformats.org/officeDocument/2006/relationships/hyperlink" Target="https://researchscholars.gilead.com/solid_tumors_ace/program-specifics/scoring-process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researchscholars.gilead.com/solid_tumors_ace/fa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earchscholars.gilead.com/solid_tumors_ace/program-specifics/scientific-focus" TargetMode="External"/><Relationship Id="rId8" Type="http://schemas.openxmlformats.org/officeDocument/2006/relationships/hyperlink" Target="https://researchscholars.gilead.com/solid_tumors_ace/program-specifics/overview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2ruPKmevreqiHihB2Rf5ABosA==">CgMxLjA4AHIhMUNaT0tvSGhsWXZfR1R6OVI1dkplaHBJdnNlYnJxd2F2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2026-01-26T08:52:00Z</dcterms:created>
  <dc:creator>Valentina Volpi</dc:creator>
</cp:coreProperties>
</file>